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7"/>
        <w:contextualSpacing/>
        <w:ind w:left="0" w:right="0" w:firstLine="0"/>
        <w:jc w:val="center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Пояснительная записка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contextualSpacing/>
        <w:ind w:left="0" w:right="0" w:firstLine="0"/>
        <w:jc w:val="center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к проекту постановления Правительства Белгородской области</w:t>
        <w:br/>
        <w:t xml:space="preserve">«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 внесении изменений в постановление Правительства</w:t>
      </w:r>
      <w:bookmarkStart w:id="0" w:name="_GoBack"/>
      <w:r>
        <w:rPr>
          <w:rFonts w:ascii="Liberation Serif" w:hAnsi="Liberation Serif" w:eastAsia="Liberation Serif" w:cs="Liberation Serif"/>
          <w:sz w:val="28"/>
          <w:szCs w:val="28"/>
        </w:rPr>
      </w:r>
      <w:bookmarkEnd w:id="0"/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contextualSpacing/>
        <w:ind w:left="0" w:right="0" w:firstLine="0"/>
        <w:jc w:val="center"/>
        <w:spacing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Белгородской области от 27 сентября 2021 года № 429-пп»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40"/>
        <w:contextualSpacing/>
        <w:ind w:left="0" w:right="0" w:firstLine="0"/>
        <w:jc w:val="center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contextualSpacing/>
        <w:ind w:left="0" w:right="0" w:firstLine="709"/>
        <w:jc w:val="both"/>
        <w:spacing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 общими требованиями к организации</w:t>
        <w:br/>
        <w:t xml:space="preserve">и осуществлению регионального государственного жилищного контроля (надзора),</w:t>
      </w:r>
      <w:r>
        <w:rPr>
          <w:rFonts w:ascii="Liberation Serif" w:hAnsi="Liberation Serif" w:eastAsia="Liberation Serif" w:cs="Liberation Serif"/>
          <w:b w:val="0"/>
          <w:i w:val="0"/>
          <w:strike w:val="0"/>
          <w:sz w:val="28"/>
          <w:szCs w:val="28"/>
          <w:u w:val="none"/>
        </w:rPr>
        <w:t xml:space="preserve"> утвержденными</w:t>
      </w:r>
      <w:r>
        <w:rPr>
          <w:rFonts w:ascii="Liberation Serif" w:hAnsi="Liberation Serif" w:eastAsia="Liberation Serif" w:cs="Liberation Serif"/>
          <w:b w:val="0"/>
          <w:i w:val="0"/>
          <w:strike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28 октября 2014 года № 1110 «О лицензировании предпринимательской деятельности по управлению многоквартирными домами»</w:t>
      </w:r>
      <w:r/>
      <w:r>
        <w:rPr>
          <w:rFonts w:ascii="Liberation Serif" w:hAnsi="Liberation Serif" w:eastAsia="Liberation Serif" w:cs="Liberation Serif"/>
          <w:b w:val="0"/>
          <w:i w:val="0"/>
          <w:strike w:val="0"/>
          <w:sz w:val="28"/>
          <w:szCs w:val="28"/>
          <w:u w:val="none"/>
          <w:lang w:val="ru-RU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положениями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Федеральный закон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 31 июля 2020 года № 248-ФЗ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«О государственном контроле (надзоре) и муниципальном контроле</w:t>
        <w:br/>
        <w:t xml:space="preserve">в Российской Федерации»,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целях приведения нормативных правовых актов Белгородской области в соответствие с действующим законодательством подготовлены изменения в Положение о региональном государственном жилищном надзоре  а территории Белгородской области (далее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Положение), утвержденное постановлением Правительства Белгородской области от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27 сентября 2021 года № 429-пп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а именно специальные полномочия управления государственного жилищного надзора Белгородской области приведены в соответствие с действующими нормативными правовыми актами по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организации и осуществлению регионального государственного жилищного контроля (надзора) на территории Белгородской области.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spacing w:before="0" w:beforeAutospacing="0" w:after="0" w:after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В Положение внесены следующие изменения: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-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ю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ч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ж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плановых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ы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х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й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  <w:lang w:eastAsia="zh-CN"/>
        </w:rPr>
        <w:t xml:space="preserve">я объектов контроля среднего и умеренного риска;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zh-CN"/>
        </w:rPr>
        <w:t xml:space="preserve">- для объектов, отнесенных к высокой категории риска, установлена периодичность плановых контрольно-надзорных мероприятий</w:t>
        <w:br/>
        <w:t xml:space="preserve">и обязательных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 для объектов контроля, отнесенных к категории среднего</w:t>
        <w:br/>
        <w:t xml:space="preserve">и умеренного риска, предусмотрено проведение обязательных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актуализированы положения, регламентирующие проведение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актуализированы основания для проведения контрольно-надзорных мероприятий;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контрольно-надзорные мероприятия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проводятся только после согласования с органами прокуратуры;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контрольные (надзорные) действия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могут осуществляться</w:t>
        <w:br/>
        <w:t xml:space="preserve">с применением средств дистанционного взаимодействия, в том числе посредством фотосъемки, видео-конференц-связи, а также, при наличии технической возможности, с использованием мобильного приложения «Инспектор»;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 актуализированы сроки рассмотрения жалоб: на действия (бездействия) - 15 рабочих дней, об отнесении объекта к категории риска -</w:t>
        <w:br/>
        <w:t xml:space="preserve">5 рабочих дней.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3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Style w:val="810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Принятие проекта постановления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2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Style w:val="810"/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Проект постановления не определяет перечень сведений, содержащих государственную и иную охраняемую тайну, сведений для служебного пользования, а также сведений, содержащих персональные данные.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08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lang w:eastAsia="zh-CN"/>
        </w:rPr>
        <w:t xml:space="preserve">Проект постановления Правительства Белгородской области</w:t>
        <w:br/>
      </w:r>
      <w:r>
        <w:rPr>
          <w:rStyle w:val="810"/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lang w:eastAsia="zh-CN"/>
        </w:rPr>
        <w:t xml:space="preserve">«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lang w:eastAsia="zh-CN"/>
        </w:rPr>
        <w:t xml:space="preserve">О внесении изменений в постановление Правительства Белгородской области от 27 сентября 2021 года № 429» был направлен в прокуратуру Белгородской области, замечания устранены.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ind w:left="0" w:right="0" w:firstLine="709"/>
        <w:jc w:val="both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ind w:left="0" w:right="0" w:firstLine="709"/>
        <w:jc w:val="both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ind w:left="0" w:right="0" w:firstLine="709"/>
        <w:jc w:val="both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0"/>
        <w:jc w:val="both"/>
        <w:spacing w:line="300" w:lineRule="exac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Начальник управления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40"/>
        <w:ind w:firstLine="0"/>
        <w:jc w:val="both"/>
        <w:spacing w:line="300" w:lineRule="exac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государственного жилищного надзора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40"/>
        <w:jc w:val="both"/>
        <w:spacing w:line="300" w:lineRule="exac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Белгородской области                                                       М.И. Бредихин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imSun">
    <w:panose1 w:val="02000506000000020000"/>
  </w:font>
  <w:font w:name="Mangal">
    <w:panose1 w:val="02040503050406030204"/>
  </w:font>
  <w:font w:name="Lucida Sans">
    <w:panose1 w:val="020B0603030804020204"/>
  </w:font>
  <w:font w:name="Liberation Sans">
    <w:panose1 w:val="020B060402020202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07"/>
    <w:next w:val="807"/>
    <w:link w:val="8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3"/>
    <w:basedOn w:val="807"/>
    <w:next w:val="807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807"/>
    <w:next w:val="807"/>
    <w:link w:val="8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807"/>
    <w:next w:val="807"/>
    <w:link w:val="8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07"/>
    <w:next w:val="807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07"/>
    <w:next w:val="807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07"/>
    <w:next w:val="807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7"/>
    <w:next w:val="807"/>
    <w:link w:val="8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07"/>
    <w:next w:val="807"/>
    <w:link w:val="82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3">
    <w:name w:val="Subtitle"/>
    <w:basedOn w:val="807"/>
    <w:next w:val="807"/>
    <w:link w:val="824"/>
    <w:uiPriority w:val="11"/>
    <w:qFormat/>
    <w:pPr>
      <w:spacing w:before="200" w:after="200"/>
    </w:pPr>
    <w:rPr>
      <w:sz w:val="24"/>
      <w:szCs w:val="24"/>
    </w:rPr>
  </w:style>
  <w:style w:type="paragraph" w:styleId="664">
    <w:name w:val="Header"/>
    <w:basedOn w:val="807"/>
    <w:link w:val="8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Footer"/>
    <w:basedOn w:val="807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table" w:styleId="66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6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0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3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7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0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4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07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reference"/>
    <w:basedOn w:val="809"/>
    <w:uiPriority w:val="99"/>
    <w:unhideWhenUsed/>
    <w:rPr>
      <w:vertAlign w:val="superscript"/>
    </w:rPr>
  </w:style>
  <w:style w:type="paragraph" w:styleId="795">
    <w:name w:val="endnote text"/>
    <w:basedOn w:val="807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reference"/>
    <w:basedOn w:val="809"/>
    <w:uiPriority w:val="99"/>
    <w:semiHidden/>
    <w:unhideWhenUsed/>
    <w:rPr>
      <w:vertAlign w:val="superscript"/>
    </w:rPr>
  </w:style>
  <w:style w:type="paragraph" w:styleId="797">
    <w:name w:val="toc 1"/>
    <w:basedOn w:val="807"/>
    <w:next w:val="807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7"/>
    <w:next w:val="807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7"/>
    <w:next w:val="807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7"/>
    <w:next w:val="807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7"/>
    <w:next w:val="807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7"/>
    <w:next w:val="807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7"/>
    <w:next w:val="807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7"/>
    <w:next w:val="807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7"/>
    <w:next w:val="807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08">
    <w:name w:val="Heading 2"/>
    <w:basedOn w:val="807"/>
    <w:qFormat/>
    <w:pPr>
      <w:spacing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09" w:default="1">
    <w:name w:val="Default Paragraph Font"/>
    <w:uiPriority w:val="1"/>
    <w:semiHidden/>
    <w:unhideWhenUsed/>
    <w:qFormat/>
  </w:style>
  <w:style w:type="character" w:styleId="810" w:customStyle="1">
    <w:name w:val="pt-a0"/>
    <w:basedOn w:val="809"/>
    <w:qFormat/>
  </w:style>
  <w:style w:type="character" w:styleId="811">
    <w:name w:val="Нижний колонтитул Знак"/>
    <w:qFormat/>
    <w:rPr>
      <w:rFonts w:ascii="Calibri" w:hAnsi="Calibri" w:eastAsia="Calibri" w:cs="Calibri"/>
    </w:rPr>
  </w:style>
  <w:style w:type="character" w:styleId="812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813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814">
    <w:name w:val="Верхний колонтитул Знак"/>
    <w:qFormat/>
    <w:rPr>
      <w:rFonts w:ascii="Calibri" w:hAnsi="Calibri" w:eastAsia="Calibri" w:cs="Calibri"/>
    </w:rPr>
  </w:style>
  <w:style w:type="character" w:styleId="815">
    <w:name w:val="Endnote Characters"/>
    <w:qFormat/>
    <w:rPr>
      <w:vertAlign w:val="superscript"/>
    </w:rPr>
  </w:style>
  <w:style w:type="character" w:styleId="816">
    <w:name w:val="Endnote Text Char"/>
    <w:qFormat/>
    <w:rPr>
      <w:sz w:val="20"/>
    </w:rPr>
  </w:style>
  <w:style w:type="character" w:styleId="817">
    <w:name w:val="Footnote Characters"/>
    <w:qFormat/>
    <w:rPr>
      <w:vertAlign w:val="superscript"/>
    </w:rPr>
  </w:style>
  <w:style w:type="character" w:styleId="818">
    <w:name w:val="Footnote Text Char"/>
    <w:qFormat/>
    <w:rPr>
      <w:sz w:val="18"/>
    </w:rPr>
  </w:style>
  <w:style w:type="character" w:styleId="819">
    <w:name w:val="Caption Char"/>
    <w:qFormat/>
  </w:style>
  <w:style w:type="character" w:styleId="820">
    <w:name w:val="Footer Char"/>
    <w:basedOn w:val="809"/>
    <w:qFormat/>
  </w:style>
  <w:style w:type="character" w:styleId="821">
    <w:name w:val="Header Char"/>
    <w:basedOn w:val="809"/>
    <w:qFormat/>
  </w:style>
  <w:style w:type="character" w:styleId="822">
    <w:name w:val="Intense Quote Char"/>
    <w:qFormat/>
    <w:rPr>
      <w:i/>
    </w:rPr>
  </w:style>
  <w:style w:type="character" w:styleId="823">
    <w:name w:val="Quote Char"/>
    <w:qFormat/>
    <w:rPr>
      <w:i/>
    </w:rPr>
  </w:style>
  <w:style w:type="character" w:styleId="824">
    <w:name w:val="Subtitle Char"/>
    <w:basedOn w:val="809"/>
    <w:qFormat/>
  </w:style>
  <w:style w:type="character" w:styleId="825">
    <w:name w:val="Title Char"/>
    <w:basedOn w:val="809"/>
    <w:qFormat/>
    <w:rPr>
      <w:sz w:val="48"/>
      <w:szCs w:val="48"/>
    </w:rPr>
  </w:style>
  <w:style w:type="character" w:styleId="826">
    <w:name w:val="Heading 9 Char"/>
    <w:basedOn w:val="809"/>
    <w:qFormat/>
    <w:rPr>
      <w:rFonts w:ascii="Arial" w:hAnsi="Arial" w:eastAsia="Arial" w:cs="Arial"/>
      <w:i/>
      <w:iCs/>
      <w:sz w:val="21"/>
      <w:szCs w:val="21"/>
    </w:rPr>
  </w:style>
  <w:style w:type="character" w:styleId="827">
    <w:name w:val="Heading 8 Char"/>
    <w:basedOn w:val="809"/>
    <w:qFormat/>
    <w:rPr>
      <w:rFonts w:ascii="Arial" w:hAnsi="Arial" w:eastAsia="Arial" w:cs="Arial"/>
      <w:i/>
      <w:iCs/>
      <w:sz w:val="22"/>
      <w:szCs w:val="22"/>
    </w:rPr>
  </w:style>
  <w:style w:type="character" w:styleId="828">
    <w:name w:val="Heading 7 Char"/>
    <w:basedOn w:val="80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9">
    <w:name w:val="Heading 6 Char"/>
    <w:basedOn w:val="809"/>
    <w:qFormat/>
    <w:rPr>
      <w:rFonts w:ascii="Arial" w:hAnsi="Arial" w:eastAsia="Arial" w:cs="Arial"/>
      <w:b/>
      <w:bCs/>
      <w:sz w:val="22"/>
      <w:szCs w:val="22"/>
    </w:rPr>
  </w:style>
  <w:style w:type="character" w:styleId="830">
    <w:name w:val="Heading 5 Char"/>
    <w:basedOn w:val="809"/>
    <w:qFormat/>
    <w:rPr>
      <w:rFonts w:ascii="Arial" w:hAnsi="Arial" w:eastAsia="Arial" w:cs="Arial"/>
      <w:b/>
      <w:bCs/>
    </w:rPr>
  </w:style>
  <w:style w:type="character" w:styleId="831">
    <w:name w:val="Heading 4 Char"/>
    <w:basedOn w:val="809"/>
    <w:qFormat/>
    <w:rPr>
      <w:rFonts w:ascii="Arial" w:hAnsi="Arial" w:eastAsia="Arial" w:cs="Arial"/>
      <w:b/>
      <w:bCs/>
      <w:sz w:val="26"/>
      <w:szCs w:val="26"/>
    </w:rPr>
  </w:style>
  <w:style w:type="character" w:styleId="832">
    <w:name w:val="Heading 3 Char"/>
    <w:basedOn w:val="809"/>
    <w:qFormat/>
    <w:rPr>
      <w:rFonts w:ascii="Arial" w:hAnsi="Arial" w:eastAsia="Arial" w:cs="Arial"/>
      <w:sz w:val="30"/>
      <w:szCs w:val="30"/>
    </w:rPr>
  </w:style>
  <w:style w:type="character" w:styleId="833">
    <w:name w:val="Heading 2 Char"/>
    <w:basedOn w:val="809"/>
    <w:qFormat/>
    <w:rPr>
      <w:rFonts w:ascii="Arial" w:hAnsi="Arial" w:eastAsia="Arial" w:cs="Arial"/>
      <w:sz w:val="34"/>
    </w:rPr>
  </w:style>
  <w:style w:type="character" w:styleId="834">
    <w:name w:val="Heading 1 Char"/>
    <w:basedOn w:val="809"/>
    <w:qFormat/>
    <w:rPr>
      <w:rFonts w:ascii="Arial" w:hAnsi="Arial" w:eastAsia="Arial" w:cs="Arial"/>
      <w:sz w:val="40"/>
      <w:szCs w:val="40"/>
    </w:rPr>
  </w:style>
  <w:style w:type="paragraph" w:styleId="835">
    <w:name w:val="Заголовок"/>
    <w:basedOn w:val="807"/>
    <w:next w:val="83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36">
    <w:name w:val="Body Text"/>
    <w:basedOn w:val="807"/>
    <w:pPr>
      <w:spacing w:before="0" w:after="140" w:line="276" w:lineRule="auto"/>
    </w:pPr>
  </w:style>
  <w:style w:type="paragraph" w:styleId="837">
    <w:name w:val="List"/>
    <w:basedOn w:val="836"/>
    <w:rPr>
      <w:rFonts w:cs="Lucida Sans"/>
    </w:rPr>
  </w:style>
  <w:style w:type="paragraph" w:styleId="838">
    <w:name w:val="Caption"/>
    <w:basedOn w:val="807"/>
    <w:link w:val="819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39">
    <w:name w:val="Указатель"/>
    <w:basedOn w:val="807"/>
    <w:qFormat/>
    <w:pPr>
      <w:suppressLineNumbers/>
    </w:pPr>
    <w:rPr>
      <w:rFonts w:cs="Lucida Sans"/>
    </w:rPr>
  </w:style>
  <w:style w:type="paragraph" w:styleId="840" w:customStyle="1">
    <w:name w:val="ConsPlusNormal"/>
    <w:qFormat/>
    <w:pPr>
      <w:ind w:firstLine="720"/>
      <w:jc w:val="left"/>
      <w:spacing w:before="0" w:after="0" w:line="240" w:lineRule="auto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41" w:customStyle="1">
    <w:name w:val="pt-a"/>
    <w:basedOn w:val="80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pt-a-000012"/>
    <w:basedOn w:val="80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 w:customStyle="1">
    <w:name w:val="pt-a-000013"/>
    <w:basedOn w:val="80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Standard"/>
    <w:qFormat/>
    <w:pPr>
      <w:jc w:val="left"/>
      <w:spacing w:before="0" w:after="0" w:line="240" w:lineRule="auto"/>
      <w:widowControl w:val="off"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paragraph" w:styleId="845">
    <w:name w:val="Balloon Text"/>
    <w:basedOn w:val="807"/>
    <w:qFormat/>
    <w:pPr>
      <w:spacing w:before="0" w:after="0" w:line="240" w:lineRule="exact"/>
    </w:pPr>
    <w:rPr>
      <w:rFonts w:ascii="Tahoma" w:hAnsi="Tahoma" w:cs="Tahoma"/>
      <w:sz w:val="16"/>
      <w:szCs w:val="16"/>
    </w:rPr>
  </w:style>
  <w:style w:type="paragraph" w:styleId="846">
    <w:name w:val="Îáû÷íûé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en-US"/>
    </w:rPr>
  </w:style>
  <w:style w:type="paragraph" w:styleId="847">
    <w:name w:val="Верхний и нижний колонтитулы"/>
    <w:basedOn w:val="807"/>
    <w:qFormat/>
  </w:style>
  <w:style w:type="paragraph" w:styleId="848">
    <w:name w:val="table of figures"/>
    <w:basedOn w:val="807"/>
    <w:qFormat/>
    <w:pPr>
      <w:spacing w:before="0" w:after="0" w:afterAutospacing="0"/>
    </w:pPr>
  </w:style>
  <w:style w:type="paragraph" w:styleId="849">
    <w:name w:val="Intense Quote"/>
    <w:basedOn w:val="807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Quote"/>
    <w:basedOn w:val="807"/>
    <w:qFormat/>
    <w:pPr>
      <w:ind w:left="720" w:right="720" w:firstLine="0"/>
    </w:pPr>
    <w:rPr>
      <w:i/>
    </w:rPr>
  </w:style>
  <w:style w:type="paragraph" w:styleId="851">
    <w:name w:val="No Spacing"/>
    <w:qFormat/>
    <w:pPr>
      <w:jc w:val="left"/>
      <w:spacing w:before="0" w:after="0" w:line="240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52">
    <w:name w:val="List Paragraph"/>
    <w:basedOn w:val="807"/>
    <w:qFormat/>
    <w:pPr>
      <w:contextualSpacing/>
      <w:ind w:left="720" w:firstLine="0"/>
      <w:spacing w:before="0" w:after="0"/>
    </w:pPr>
  </w:style>
  <w:style w:type="numbering" w:styleId="853" w:default="1">
    <w:name w:val="No List"/>
    <w:uiPriority w:val="99"/>
    <w:semiHidden/>
    <w:unhideWhenUsed/>
    <w:qFormat/>
  </w:style>
  <w:style w:type="table" w:styleId="85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4021.00.65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28.10.2014 N 1110(ред. от 05.02.2022)"О лицензировании предпринимательской деятельности по управлению многоквартирными домами"(вместе с "Положением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домами", "Положением о ведении реестра лиц, осуществлявших функции единоличного испо</dc:title>
  <dc:subject/>
  <dc:creator>Бочарникова</dc:creator>
  <dc:description/>
  <dc:language>ru-RU</dc:language>
  <cp:lastModifiedBy>supervisor</cp:lastModifiedBy>
  <cp:revision>17</cp:revision>
  <dcterms:modified xsi:type="dcterms:W3CDTF">2025-07-18T07:16:27Z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