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Департамент устойчивого развития сельских территорий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Об утверждении порядка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апреля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Средняя.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нормативного правового акта содержит положения, расширяющие ранее предусмотренный перечень предоставления мер поддержки малым формам хозяйствования.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Пояркова Ирина Игоревна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консультант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отдела развития потребкооперации и мониторинга показателей малых форм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хозяйствования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(4722) 24-76-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48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poyarkova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@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belapk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еобходимость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оптимизации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процедуры проведени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отбора по предоставлению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(электронное предоставление заявочной документации)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ониторинг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федерального законодательства, а также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антикризисных мер в сельскохозяйственном секторе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региона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мониторинг обеспеченности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личных подсобных хозяйств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финансовыми ресурсами для производства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картофеля 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овощей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открытого грунта.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невозможность получения федерального финансирования на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возмещение части затрат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связанных с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производством картофеля и овощей открытого грунта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утверждения регионал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ьного нормативно-правового акта.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Анализ опыта иных субъектов Российской Федерации показал, что органами исполнительной власти всех субъектов Российской Федерации ведутся работы по принятию аналогичных порядков предоставления государственной поддержки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личным подсобны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хозяйствам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производство картофеля и овощей открытого грунта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Создание оптимальных условий для приема заявочной документации 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отбор по предоставлению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субсидии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электронное предоставление заявочной документации;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отсутствие необходимости предоставления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документов и информации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подтвержд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ающих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соответстви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нормативного правового акта разработан в соответствии с пунктом 1 статьи 78, статьей 78.5 Бюджетного кодекса Российской Федерации, Государственной программой развития сельского хозяйства и регулирования рынков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сельскохозяйственной продукции, сырья и продовольствия, утвержденной Постановлением Правительства Российской Федерации от 14 июля 2012 года № 717, правилами отбора получателей субсидий, в том числе грантов в форме субсидий, предоставляемых из бюджетов бюд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1781,  общими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  <w:lang w:val="en-US"/>
        </w:rPr>
        <w:t xml:space="preserve">II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квартал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2024 года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8"/>
        <w:jc w:val="both"/>
        <w:spacing w:line="276" w:lineRule="auto"/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Проектом нормативного правового акта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утверждается порядок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предоставления субсидии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алоговый режим «Налог на профессиональный доход». В новом порядке:</w:t>
      </w: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  <w:t xml:space="preserve">            </w:t>
      </w:r>
      <w:r>
        <w:rPr>
          <w:rFonts w:ascii="Times New Roman" w:hAnsi="Times New Roman" w:eastAsia="Calibri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  <w:u w:val="none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скорректированы требования к заявителю для участия в отборе на предоставление субсидии;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предусмотрена возможность формирования заявок участниками отбора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в соответствии с требованиями, установленными в объявлении о проведении отбора;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расширен перечень затрат, которые заявитель может представить на возмещение;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предусмотрена возможность возмещения до 100 % понесенных расходов.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/>
      <w:r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Приобретение необходимого инвентаря, семенно-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посадочного материала, средств защиты растений и т.д.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за счет собственных либо заемных средств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Обоснование выбора предлагаемого способа решения проблемы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Предпочтительным вариантом решения проблемы считаем принятие постановления Правительства Белгородской области,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утверждающего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субсидии на возмещение части затрат на поддержку производства картофеля и овощей открытого грунта гражданам, ведущим личное подсобное хозяйство и применяющих специальный налоговый режим «Налог на профессиональный доход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»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Утверждение предложенного порядка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позволит создать оптимальные условия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для получения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личными подсобными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хозяйст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вами государственной поддержки 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возмещение части затрат на производство картофеля и овощей открытого грунта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их развитию 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повышению заинтересованности личных подсобных хозяйст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к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увеличению производства сельскохозяйственной продукции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Граждане ведущие личное подсобное хозяйство и применяющие специальный налоговый режим «Налог на професс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иональный доход»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40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4674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Граждане ведущие личное подсобное хозяйство и применяющие специальный налоговый режим «Налог на профессиональный доход»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  <w:t xml:space="preserve">Преимущества: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возможность формирования заявок участниками отбора в электронной форме;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highlight w:val="none"/>
              </w:rPr>
            </w:r>
          </w:p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- упрощение процедуры проведение отбора по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предоставлению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 субсидии;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- отсутствие необходимости предоставл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ения документов и информации, подтверждающих соответствие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      </w:r>
            <w:r/>
          </w:p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- увеличение суммы компенсации до 100 %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субсидии исчисляется по ставкам на 1 тонну реализованных картофеля и (или) овощей открытого грунта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, исходя из лимитов бюджетных средств, но не более 100% осуществленных заявителем расходов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 (предполагаемые ставки на 2024 год: картофель 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 10,83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;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вощи -  18,133)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.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  <w:t xml:space="preserve">Обязанности:</w:t>
            </w:r>
            <w:r>
              <w:rPr>
                <w:u w:val="single"/>
              </w:rPr>
            </w:r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предоставление пакета документов, необходимых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Общая стоимость требования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112 84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отбора, подготовка документов для выдачи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субсидий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субсидии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 2024 год 7751,97369 тыс.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 2025 год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6478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78378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 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 2026 год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8503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4375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обязательные требования проектом нормативного правового акта не предусмотрены.</w:t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</w:r>
      <w:r>
        <w:rPr>
          <w:i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количества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заявок на участие в отборе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поданных заявок;</w:t>
            </w: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Поквартальная форма отчётности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Министерство сельского хозяйства и продовольствия Белгородской 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Calibri" w:cs="Times New Roman"/>
                <w:bCs/>
                <w:i/>
                <w:color w:val="c0504d" w:themeColor="accent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отчет о финансово-экономическом состоянии и достижения значений 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показателей результативности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обучающих семинаров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нформирование населения о мерах поддержки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ониторинг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количества потенциальных участников отбора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Размещение информации о принятии постановления Правительства Белгородской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внесенных изменениях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ведомства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belapk.ru 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126"/>
        <w:gridCol w:w="2689"/>
        <w:gridCol w:w="226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ind w:firstLine="22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Количество ЛПХ,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 получивших субсидию на производство картофеля и овощей открытого грунта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40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 ед.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6"/>
                <w:szCs w:val="26"/>
                <w:lang w:eastAsia="ru-RU"/>
              </w:rPr>
              <w:t xml:space="preserve">По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6"/>
                <w:szCs w:val="26"/>
                <w:lang w:eastAsia="ru-RU"/>
              </w:rPr>
              <w:t xml:space="preserve">квартальная 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6"/>
                <w:szCs w:val="26"/>
                <w:lang w:eastAsia="ru-RU"/>
              </w:rPr>
              <w:t xml:space="preserve">форм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6"/>
                <w:szCs w:val="26"/>
                <w:lang w:eastAsia="ru-RU"/>
              </w:rPr>
              <w:t xml:space="preserve">а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6"/>
                <w:szCs w:val="26"/>
                <w:lang w:eastAsia="ru-RU"/>
              </w:rPr>
              <w:t xml:space="preserve"> отчётности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Министерство сельского хозяйства и продовольствия Белгородской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Calibri" w:cs="Times New Roman"/>
                <w:bCs/>
                <w:i/>
                <w:color w:val="c0504d" w:themeColor="accent2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отчет о финансово-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экономическом состоянии и достижения значений показателей результативности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)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ind w:firstLine="21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о состоянию на 1 января года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, следующего за годом получения меры государственной поддержки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)</w:t>
            </w:r>
            <w:r>
              <w:rPr>
                <w:sz w:val="26"/>
                <w:szCs w:val="26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lang w:val="en-US"/>
        </w:rPr>
        <w:t xml:space="preserve">II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квартал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20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24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г.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0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0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0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10" w:customStyle="1">
    <w:name w:val="Знак"/>
    <w:basedOn w:val="59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18</cp:revision>
  <dcterms:created xsi:type="dcterms:W3CDTF">2024-04-22T14:57:00Z</dcterms:created>
  <dcterms:modified xsi:type="dcterms:W3CDTF">2024-04-26T09:33:57Z</dcterms:modified>
</cp:coreProperties>
</file>