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4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6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6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6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24 марта 2014 года № 114-пп».</w:t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февраля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марта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средняя. 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 внесении изменений в постановление Правительства области от 24 марта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2014 года № 114-пп»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меняется порядок  проведение конкурсного отбора (через систему «Электронный бюджет»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федеральной государственной информационной системы «Еди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в электронной форме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также добавляется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предоставляемы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крестьянским (фермерским) хозяйствам на возмещение (обеспечение) затрат семейных ферм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(далее - Субсидия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)</w:t>
      </w:r>
      <w:r>
        <w:rPr>
          <w:rFonts w:ascii="Times New Roman" w:hAnsi="Times New Roman" w:eastAsia="Calibri" w:cs="Times New Roman"/>
          <w:sz w:val="26"/>
          <w:szCs w:val="26"/>
        </w:rPr>
        <w:t xml:space="preserve">. 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ополняет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ранее установленный комплект документов для подтверждения соответствия требованиям, предъявляемым к заявителю, устанавливает порядок действий в отношении получателей средств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которые пострадали в результате обстрелов со стороны вооруженных формирований Украины или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изменяется направление расходования средств гранта на развитие семейных ферм, приобретение оборудования осуществляется с помощью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Греховодова Римма Сергеевна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 (4722) 24-76-43.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 электронной почты: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hyperlink r:id="rId10" w:tooltip="mailto:grs@belapk.ru" w:history="1">
        <w:r>
          <w:rPr>
            <w:rStyle w:val="651"/>
            <w:rFonts w:ascii="Times New Roman" w:hAnsi="Times New Roman" w:eastAsia="Times New Roman" w:cs="Times New Roman"/>
            <w:color w:val="auto"/>
            <w:sz w:val="26"/>
            <w:szCs w:val="26"/>
            <w:u w:val="none"/>
          </w:rPr>
          <w:t xml:space="preserve">grs@belapk.ru</w:t>
        </w:r>
      </w:hyperlink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необходимость упрощения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процедуры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проведение конкурсного отбора по предоставлению Грантов на развитие семейных ферм и Субсидий (без очного присутствия в Министерстве);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евозможность достижения грантополучателями плановых показателей производства, а также не предусмотренный в действующем нормативно правовом регулировани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поряд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действий грантополучателей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которые пострадали в результате обстрелов со стороны вооруженных формирований Украины или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</w:t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неос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средств гранта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или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недостижение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плановых показателей грантополучателей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связи с тем, что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пострадали в результате обстрелов со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стороны вооруженных формирований Украины или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Аналогичные постановления находятся в разработке в Орловской области                               (Проект постановления правительства  Орловской области «О внесении изменений  в постановление правительства Орловской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20 декабря 2019 года № 700 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 предоставлении субсидий на поддержку сельскохозяйственного производства по отдельным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подотраслям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растениеводства и животноводства и субсидий на стимулирование развития приоритетных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подотраслей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агропромышленного комплекса и развитие малых форм хозяйствов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ания») и Республике Татарстан (Проект постановления Кабинета Министров Республики Татарстан «О внесении изменений в постановление кабинета Министров Республики Татарстан от 14 июля 2021 года № 572 «О мерах грантовой поддержки агропромышленного комплекса»).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упрощение процедуры проведение конкурсного отбора по предоставлению Грантов на развитие семейных ферм и Субсидий (без очного присутствия в Министерстве)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создание оптимальных условий для оказания государственной поддержки по предоставлению грантов на развитие Семейных ферм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Субсидий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сельскохозяйственным товаропроизводителям, а также установление особых условий для грантополучателей, пострадавших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результате обстрелов со стороны вооруженных формирований Украины или террористических актов.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соответствии с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постановлени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м Правительства Российской Федерации от 14 июля 2012 года № 717                   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2024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нормативного правового акта вносятся изменения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порядок предоставления крестьянским (фермерским) хозяйствам грантов на развитие семейных фе</w:t>
      </w:r>
      <w:bookmarkStart w:id="1" w:name="_Hlk158367312"/>
      <w:r>
        <w:rPr>
          <w:rFonts w:ascii="Times New Roman" w:hAnsi="Times New Roman" w:cs="Times New Roman"/>
          <w:sz w:val="26"/>
          <w:szCs w:val="26"/>
        </w:rPr>
        <w:t xml:space="preserve">рм Белгородской области в части: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Изменения порядка подачи заявок для участия в конкурсном отборе;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Проведения конкурса среди заявителей в государственной интегрированной информационной системе управления общественными финансами «Электронный </w:t>
      </w:r>
      <w:r>
        <w:rPr>
          <w:rFonts w:ascii="Times New Roman" w:hAnsi="Times New Roman" w:cs="Times New Roman"/>
          <w:sz w:val="26"/>
          <w:szCs w:val="26"/>
        </w:rPr>
        <w:t xml:space="preserve">бюджет»;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Перечень документов по предоставлению грантов на развитие семейных ферм Белгородской области скорректирован и дополнен следующими документами: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подписанной электронной цифровой подписью Заявителя копией сертификата, подтвер</w:t>
      </w:r>
      <w:r>
        <w:rPr>
          <w:rFonts w:ascii="Times New Roman" w:hAnsi="Times New Roman" w:cs="Times New Roman"/>
          <w:sz w:val="26"/>
          <w:szCs w:val="26"/>
        </w:rPr>
        <w:t xml:space="preserve">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 (в случае, если Заявитель претендует на получение баллов, предусмотренных пунктом 2.16 раздела 2 Порядка</w:t>
      </w:r>
      <w:r>
        <w:rPr>
          <w:rFonts w:ascii="Times New Roman" w:hAnsi="Times New Roman" w:cs="Times New Roman"/>
          <w:sz w:val="26"/>
          <w:szCs w:val="26"/>
        </w:rPr>
        <w:t xml:space="preserve">);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подписанным электронной цифровой подписью Заявителя информационным письмом налогового органа о действующей системе налогообложения, заверенным налоговым органом или подписанное усиленной квалифицированной электронной подписью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подписанным электронной цифровой подписью Заявителя обязательством по сохранению до завершения подведения итогов Конкурса на расчетном счете денежных средств в размере, достаточном для подтверждения возможности собственного </w:t>
      </w:r>
      <w:r>
        <w:rPr>
          <w:rFonts w:ascii="Times New Roman" w:hAnsi="Times New Roman" w:cs="Times New Roman"/>
          <w:sz w:val="26"/>
          <w:szCs w:val="26"/>
        </w:rPr>
        <w:t xml:space="preserve">софинансирование</w:t>
      </w:r>
      <w:r>
        <w:rPr>
          <w:rFonts w:ascii="Times New Roman" w:hAnsi="Times New Roman" w:cs="Times New Roman"/>
          <w:sz w:val="26"/>
          <w:szCs w:val="26"/>
        </w:rPr>
        <w:t xml:space="preserve"> реализации мероприятий проекта (бизнес-плана) по форме, утверждаемой приказом Министерства.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</w:t>
      </w:r>
      <w:r>
        <w:rPr>
          <w:rFonts w:ascii="Times New Roman" w:hAnsi="Times New Roman" w:cs="Times New Roman"/>
          <w:sz w:val="26"/>
          <w:szCs w:val="26"/>
        </w:rPr>
        <w:t xml:space="preserve">Перечень требований, предъявляемых к Заявителю дополнен и скорректирован следующими пунктами: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заявитель осуществляет вид экономической деятельности (имеет ОКВЭД), соответствующий заявленному направлению деятельности в соответствии с п</w:t>
      </w:r>
      <w:r>
        <w:rPr>
          <w:rFonts w:ascii="Times New Roman" w:hAnsi="Times New Roman" w:cs="Times New Roman"/>
          <w:sz w:val="26"/>
          <w:szCs w:val="26"/>
        </w:rPr>
        <w:t xml:space="preserve">роектом (бизнес-планом) и относящийся к разделу А «Сельское, лесное хозяйство, охота, рыболовство и рыбоводство» или классу 10 раздела С «Обрабатывающие производства» Общероссийского классификатора видов экономической деятельности ОК 029-2014 (КДЕС Ред. 2)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- заявитель не должен находиться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6"/>
          <w:szCs w:val="26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</w:t>
      </w:r>
      <w:r>
        <w:rPr>
          <w:rFonts w:ascii="Times New Roman" w:hAnsi="Times New Roman" w:cs="Times New Roman"/>
          <w:sz w:val="26"/>
          <w:szCs w:val="26"/>
        </w:rPr>
        <w:t xml:space="preserve"> Определены особые условия признания проекта завершенным или обеспечения возврата неосвоенных средств для грантополучателей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пострада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вших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результате обстрелов со стороны вооруженных формирований Украины или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Также проектом утверждается порядок предоставления крестьянским (фермерским) хозяйствам субсидий на возмещение (обеспечение) затрат семейных ферм Белгородской области, положение о конкурсной комиссии по отбору проектов гр</w:t>
      </w:r>
      <w:r>
        <w:rPr>
          <w:rFonts w:ascii="Times New Roman" w:hAnsi="Times New Roman" w:cs="Times New Roman"/>
          <w:sz w:val="26"/>
          <w:szCs w:val="26"/>
        </w:rPr>
        <w:t xml:space="preserve">антополучателей для участия в мероприятиях по развитию семейных ферм Белгородской области и положение о комиссии по отбору субсидий, предоставляемых крестьянским (фермерским) хозяйствам на возмещение (обеспечение) затрат семейных ферм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снижение финансово экономический показателей по реализации проекта грантополучателя по результатам рассмотрения комиссии.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продление сроков освоения средств государственной поддержки грантополучателями, пострадавши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результате обстрелов со стороны вооруженных формирований Украины или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развитие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крестьянских (фермерских) хозяйств или индивидуальных предпринимателей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за счет собственных или заемных средств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Оптимальным вариантом решения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проблемы департамент устойчивого развития сельских территорий министерства сельского хозяйства и продовольствия области считает принятие подготовленного проекта постановления Правительства Белгородской области, который позволит создать оптимальные условия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грантополучателям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эффективного освоения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предоставленной государственной поддержки, будет способствовать повышению заинтересованности крестьянских (фермерских) хозяйств или индивидуальных предпринимателей, в создании и развитии рентабельного производства в сельской местности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также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окажет существенное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снижение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финансовой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нагрузки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экономию времени (сбор облегченного пакета документов на субсидии)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крестьянским(фермерским) хозяйствам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 помощью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крестьянским (фермерским) хозяйствам на 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озмещение (обеспечение) затрат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семейных ферм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bookmarkStart w:id="2" w:name="_GoBack"/>
      <w:r/>
      <w:bookmarkEnd w:id="2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Глава крестьянского (фермерского) хозяйства или индивидуальный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предприниматель, являющийся главой крестьянского (фермерского) хозяйства, зарегистрированный и осуществляющий деятельность на сельской территории или территории сельской агломерации Белгородской области более 12 (двенадцати) месяцев со дня его регистрации.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не менее 10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3689"/>
        <w:gridCol w:w="328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Глава крестьянского (фермерского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) хозяйства или индивидуальный предприниматель, являющийся главой крестьянского (фермерского) хозяйства, зарегистрированный и осуществляющий деятельность на сельской территории или территории сельской агломерации Белгородской области более 12 (двенадцати)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месяцев со дня его регистрации.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9" w:type="dxa"/>
            <w:textDirection w:val="lrTb"/>
            <w:noWrap w:val="false"/>
          </w:tcPr>
          <w:p>
            <w:pPr>
              <w:pStyle w:val="653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Преимущества:</w:t>
            </w:r>
            <w:r/>
          </w:p>
          <w:p>
            <w:pPr>
              <w:pStyle w:val="653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</w:t>
            </w:r>
            <w: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упрощение процедуры проведение конкурсного отбора по предоставлению Грантов на развитие семейных ферм и Субсидий (без очного присутствия в Министерстве);</w:t>
            </w:r>
            <w:r/>
          </w:p>
          <w:p>
            <w:pPr>
              <w:pStyle w:val="653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-возможность освоения средств государственной поддержки грантополучателями, </w:t>
            </w:r>
            <w:r>
              <w:t xml:space="preserve">пострадавшими</w:t>
            </w:r>
            <w:r>
              <w:rPr>
                <w:rFonts w:eastAsia="Calibri"/>
                <w:bCs/>
                <w:lang w:eastAsia="en-US"/>
              </w:rPr>
              <w:t xml:space="preserve"> в результате обстрелов со стороны вооруженных формирований Украины или террористических актов;</w:t>
            </w:r>
            <w:r/>
          </w:p>
          <w:p>
            <w:pPr>
              <w:pStyle w:val="653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-добавление </w:t>
            </w:r>
            <w: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субсидий на возмещение (обеспечение) затрат семейных ферм Белгородской области 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638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Общая стоимость требования: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67,62 тыс. руб.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638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Общая стоимость требования: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33,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тыс. руб.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9" w:type="dxa"/>
            <w:textDirection w:val="lrTb"/>
            <w:noWrap w:val="false"/>
          </w:tcPr>
          <w:p>
            <w:pPr>
              <w:pStyle w:val="653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Обязанности:</w:t>
            </w:r>
            <w:r/>
          </w:p>
          <w:p>
            <w:pPr>
              <w:pStyle w:val="653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-предоставление пакета документов, необходимого для участия в конкурсном отборе</w:t>
            </w:r>
            <w:r>
              <w:rPr>
                <w:rFonts w:eastAsia="Calibri"/>
                <w:lang w:eastAsia="en-US"/>
              </w:rPr>
              <w:t xml:space="preserve"> на получение гранта на развитие семейных ферм</w:t>
            </w:r>
            <w:r/>
          </w:p>
          <w:p>
            <w:pPr>
              <w:pStyle w:val="653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предоставление пакета документов, необходимого для участия в </w:t>
            </w:r>
            <w:r>
              <w:rPr>
                <w:rFonts w:eastAsia="Calibri"/>
                <w:lang w:eastAsia="en-US"/>
              </w:rPr>
              <w:t xml:space="preserve">предоставлени</w:t>
            </w:r>
            <w:r>
              <w:rPr>
                <w:rFonts w:eastAsia="Calibri"/>
                <w:lang w:eastAsia="en-US"/>
              </w:rPr>
              <w:t xml:space="preserve">и</w:t>
            </w:r>
            <w:r>
              <w:rPr>
                <w:rFonts w:eastAsia="Calibri"/>
                <w:lang w:eastAsia="en-US"/>
              </w:rPr>
              <w:t xml:space="preserve"> крестьянским (фермерским) хозяйствам субсидий на возмещение (обеспечение) затрат семейных ферм Белгородской области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грантов на развитие семейной фермы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Белгородской области и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субсидий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предоставляемых крестьянским (фермерским) хозяйствам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на возмещение (обеспечение) затрат семейных ферм Белгородской области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году будет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осуществляться в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виде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общую сумму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82 142,34 тыс. рублей, в том числе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из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федерального бюджета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62 428,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руб. (76 %) 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19 714,16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тыс. руб. (24%) из бюджета Белгородской области.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654"/>
              <w:numPr>
                <w:ilvl w:val="0"/>
                <w:numId w:val="2"/>
              </w:numPr>
              <w:ind w:left="0" w:firstLine="284"/>
              <w:jc w:val="both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Уменьшение потенциальных участников мероприятий по предоставлению грантов на развитие семейной фермы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654"/>
              <w:numPr>
                <w:ilvl w:val="0"/>
                <w:numId w:val="2"/>
              </w:numPr>
              <w:ind w:left="0" w:firstLine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Сокращение интереса потенциальных участников грантов на развитие семейной фермы к иным видам деятельности, не относящимся к разведению крупного рогатого скота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тии постановления Правительства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Белгородской области на  официальном сайте департамента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Февраль-март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предоставленных грантов на развитие семейной фермы и субсидий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212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честв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нное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Оказание государственной поддержки в виде предоставления грантов на развитие семейных ферм Белгородской области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 субсидий,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предоставляемых крестьянским (фермерским) хозяйствам на возмещение (обеспечение) затрат семейных ферм Белгородской области в текущем финансовом году 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менее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крестьянским (фермерск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им) хозяйствам и индивидуальным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предпринимателям, являющимся сельскохозяйственными товаропроизводителями.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Ежегодно в конце года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предоставления грантов на развитие семейной фермы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1 квартал 2024 года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56"/>
        <w:gridCol w:w="1357"/>
        <w:gridCol w:w="448"/>
        <w:gridCol w:w="448"/>
        <w:gridCol w:w="1783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8"/>
    <w:next w:val="63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8"/>
    <w:next w:val="63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8"/>
    <w:next w:val="63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8"/>
    <w:next w:val="63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8"/>
    <w:next w:val="63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8"/>
    <w:next w:val="63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8"/>
    <w:next w:val="63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8"/>
    <w:next w:val="63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8"/>
    <w:next w:val="63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8"/>
    <w:next w:val="63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9"/>
    <w:link w:val="33"/>
    <w:uiPriority w:val="10"/>
    <w:rPr>
      <w:sz w:val="48"/>
      <w:szCs w:val="48"/>
    </w:rPr>
  </w:style>
  <w:style w:type="paragraph" w:styleId="35">
    <w:name w:val="Subtitle"/>
    <w:basedOn w:val="638"/>
    <w:next w:val="63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9"/>
    <w:link w:val="35"/>
    <w:uiPriority w:val="11"/>
    <w:rPr>
      <w:sz w:val="24"/>
      <w:szCs w:val="24"/>
    </w:rPr>
  </w:style>
  <w:style w:type="paragraph" w:styleId="37">
    <w:name w:val="Quote"/>
    <w:basedOn w:val="638"/>
    <w:next w:val="63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8"/>
    <w:next w:val="63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9"/>
    <w:link w:val="655"/>
    <w:uiPriority w:val="99"/>
  </w:style>
  <w:style w:type="character" w:styleId="44">
    <w:name w:val="Footer Char"/>
    <w:basedOn w:val="639"/>
    <w:link w:val="657"/>
    <w:uiPriority w:val="99"/>
  </w:style>
  <w:style w:type="paragraph" w:styleId="45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57"/>
    <w:uiPriority w:val="99"/>
  </w:style>
  <w:style w:type="table" w:styleId="47">
    <w:name w:val="Table Grid"/>
    <w:basedOn w:val="6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9"/>
    <w:uiPriority w:val="99"/>
    <w:unhideWhenUsed/>
    <w:rPr>
      <w:vertAlign w:val="superscript"/>
    </w:rPr>
  </w:style>
  <w:style w:type="paragraph" w:styleId="177">
    <w:name w:val="endnote text"/>
    <w:basedOn w:val="63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9"/>
    <w:uiPriority w:val="99"/>
    <w:semiHidden/>
    <w:unhideWhenUsed/>
    <w:rPr>
      <w:vertAlign w:val="superscript"/>
    </w:rPr>
  </w:style>
  <w:style w:type="paragraph" w:styleId="180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4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4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4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4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4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4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4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50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651">
    <w:name w:val="Hyperlink"/>
    <w:basedOn w:val="639"/>
    <w:uiPriority w:val="99"/>
    <w:unhideWhenUsed/>
    <w:rPr>
      <w:color w:val="0000ff" w:themeColor="hyperlink"/>
      <w:u w:val="single"/>
    </w:rPr>
  </w:style>
  <w:style w:type="paragraph" w:styleId="652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53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Header"/>
    <w:basedOn w:val="638"/>
    <w:link w:val="6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6" w:customStyle="1">
    <w:name w:val="Верхний колонтитул Знак"/>
    <w:basedOn w:val="639"/>
    <w:link w:val="655"/>
    <w:uiPriority w:val="99"/>
  </w:style>
  <w:style w:type="paragraph" w:styleId="657">
    <w:name w:val="Footer"/>
    <w:basedOn w:val="638"/>
    <w:link w:val="6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8" w:customStyle="1">
    <w:name w:val="Нижний колонтитул Знак"/>
    <w:basedOn w:val="639"/>
    <w:link w:val="65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grs@belap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A323-FD03-4B45-86B8-E268CFCF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7</cp:revision>
  <dcterms:created xsi:type="dcterms:W3CDTF">2024-02-16T12:00:00Z</dcterms:created>
  <dcterms:modified xsi:type="dcterms:W3CDTF">2024-02-19T11:35:31Z</dcterms:modified>
</cp:coreProperties>
</file>