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sz w:val="26"/>
          <w:szCs w:val="26"/>
        </w:rPr>
      </w:r>
      <w:r/>
    </w:p>
    <w:p>
      <w:pPr>
        <w:spacing w:after="0" w:line="240" w:lineRule="auto"/>
        <w:rPr>
          <w:bCs w:val="0"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iCs w:val="0"/>
          <w:sz w:val="26"/>
          <w:szCs w:val="26"/>
        </w:rPr>
      </w:r>
      <w:r>
        <w:rPr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Название государственной поддержки: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SimSu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Предоставление из бюджета Белгородской области субсидий юридическим лицам  на возмещение затрат по созданию объектов инфраструктуры, необходимых для реализации новых инвестиционных проектов</w:t>
      </w: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SimSu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eastAsia="SimSun" w:cs="Times New Roman"/>
          <w:i w:val="0"/>
          <w:iCs w:val="0"/>
          <w:sz w:val="26"/>
          <w:szCs w:val="26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single"/>
          <w:lang w:eastAsia="ru-RU"/>
        </w:rPr>
        <w:t xml:space="preserve">I Тип требования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 xml:space="preserve">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  <w:lang w:eastAsia="ru-RU"/>
        </w:rPr>
        <w:t xml:space="preserve">подготовка и представление пакета документов</w:t>
      </w:r>
      <w:r>
        <w:rPr>
          <w:rFonts w:ascii="Times New Roman" w:hAnsi="Times New Roman" w:cs="Times New Roman"/>
          <w:bCs w:val="0"/>
          <w:i w:val="0"/>
          <w:sz w:val="26"/>
          <w:szCs w:val="26"/>
          <w:u w:val="single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1 раз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количество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организаций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60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ед.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Предоставление пакета документов: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r>
      <w:r/>
    </w:p>
    <w:p>
      <w:pPr>
        <w:pStyle w:val="816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з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аявка по установленной форме – 0,5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/часов.</w:t>
      </w:r>
      <w:r>
        <w:rPr>
          <w:sz w:val="26"/>
          <w:szCs w:val="26"/>
        </w:rPr>
      </w:r>
      <w:r/>
    </w:p>
    <w:p>
      <w:pPr>
        <w:pStyle w:val="816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 документы, установленные пунктом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2.8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Поряд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77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pStyle w:val="816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 Подача пакета документов 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профильный орган исполнительной власти Белгородской области, курирующий сферу деятельности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 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чел./часов.</w:t>
      </w:r>
      <w:r>
        <w:rPr>
          <w:sz w:val="26"/>
          <w:szCs w:val="26"/>
        </w:rPr>
      </w:r>
      <w:r/>
    </w:p>
    <w:p>
      <w:pPr>
        <w:pStyle w:val="816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 Организация заключения соглашения 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предоставлении субсидии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- 4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highlight w:val="none"/>
        </w:rPr>
        <w:t xml:space="preserve">Итого трудозатрат:</w:t>
      </w:r>
      <w:r>
        <w:rPr>
          <w:rFonts w:ascii="Times New Roman" w:hAnsi="Times New Roman" w:eastAsia="Times New Roman"/>
          <w:sz w:val="26"/>
          <w:szCs w:val="26"/>
          <w:highlight w:val="none"/>
        </w:rPr>
        <w:t xml:space="preserve"> 83,5 чел./часа</w:t>
      </w:r>
      <w:r>
        <w:rPr>
          <w:rFonts w:ascii="Times New Roman" w:hAnsi="Times New Roman" w:eastAsia="Times New Roman"/>
          <w:sz w:val="26"/>
          <w:szCs w:val="26"/>
          <w:highlight w:val="none"/>
        </w:rPr>
      </w:r>
      <w:r/>
    </w:p>
    <w:p>
      <w:pPr>
        <w:pStyle w:val="816"/>
        <w:jc w:val="both"/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52 459,80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руб.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</w:r>
      <w:r/>
    </w:p>
    <w:p>
      <w:pPr>
        <w:pStyle w:val="816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298,06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52 459,80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/22 рабочих дня/8 рабочих часов)</w:t>
      </w:r>
      <w:r>
        <w:rPr>
          <w:rFonts w:ascii="Times New Roman" w:hAnsi="Times New Roman" w:eastAsia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Общая стоимость требования по предоставлению пакета документов: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1944,3 тыс. руб. (83,5 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налоговых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60 ед.)</w:t>
      </w:r>
      <w:r>
        <w:rPr>
          <w:rFonts w:ascii="Times New Roman" w:hAnsi="Times New Roman" w:cs="Times New Roman"/>
          <w:highlight w:val="white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trike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highlight w:val="white"/>
          <w:u w:val="single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highlight w:val="white"/>
          <w:u w:val="single"/>
          <w:lang w:eastAsia="ru-RU"/>
        </w:rPr>
        <w:t xml:space="preserve">I Тип требования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  <w:u w:val="single"/>
        </w:rPr>
        <w:t xml:space="preserve">: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white"/>
          <w:lang w:eastAsia="en-US"/>
        </w:rPr>
        <w:t xml:space="preserve">предоставление отчетности о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реализации Плана мероприятий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white"/>
          <w:lang w:eastAsia="en-US"/>
        </w:rPr>
        <w:t xml:space="preserve"> и отчетности о достижении результата предоставления субсидии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- отчет о реализации Плана мероприятий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 (ежеквартально) -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186,27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тыс. руб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(2 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налоговых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60 ед.)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х 4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тчет о достижении значения результата предоставления субсид</w:t>
      </w:r>
      <w:r>
        <w:rPr>
          <w:rFonts w:ascii="Times New Roman" w:hAnsi="Times New Roman" w:cs="Times New Roman"/>
          <w:sz w:val="26"/>
          <w:szCs w:val="26"/>
          <w:highlight w:val="white"/>
          <w:u w:val="none"/>
        </w:rPr>
        <w:t xml:space="preserve">ии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 -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93,14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тыс. руб. </w:t>
        <w:br/>
        <w:t xml:space="preserve">(4 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налоговых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60 ед.)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Общая стоимость требования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по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предоставлению отчетности: 279,41 тыс. руб.</w:t>
      </w:r>
      <w:r>
        <w:rPr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(186,27 тыс. руб. + 93,14 тыс. руб.)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6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  <w:t xml:space="preserve">_____________________</w:t>
      </w:r>
      <w:r/>
    </w:p>
    <w:p>
      <w:pPr>
        <w:pStyle w:val="816"/>
        <w:jc w:val="both"/>
        <w:spacing w:after="0" w:line="240" w:lineRule="auto"/>
        <w:rPr>
          <w:rFonts w:ascii="Times New Roman" w:hAnsi="Times New Roman"/>
          <w:bCs w:val="0"/>
          <w:i w:val="0"/>
          <w:color w:val="000000"/>
          <w:sz w:val="26"/>
          <w:szCs w:val="26"/>
          <w:highlight w:val="none"/>
        </w:rPr>
      </w:pP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Средства на реализацию мероприятия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по предоставлению субсидий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в 2025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году                     в объеме 193,00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млн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рублей предусмотрены законом Белгородской области                                 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«Об областном бюджете на 2025 год и на плановый период 2026 и 2027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годов».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851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17">
    <w:name w:val="Основной шрифт абзаца"/>
    <w:next w:val="817"/>
    <w:link w:val="816"/>
    <w:uiPriority w:val="1"/>
    <w:semiHidden/>
    <w:unhideWhenUsed/>
  </w:style>
  <w:style w:type="table" w:styleId="818">
    <w:name w:val="Обычная таблица"/>
    <w:next w:val="818"/>
    <w:link w:val="816"/>
    <w:uiPriority w:val="99"/>
    <w:semiHidden/>
    <w:unhideWhenUsed/>
    <w:tblPr/>
  </w:style>
  <w:style w:type="numbering" w:styleId="819">
    <w:name w:val="Нет списка"/>
    <w:next w:val="819"/>
    <w:link w:val="816"/>
    <w:uiPriority w:val="99"/>
    <w:semiHidden/>
    <w:unhideWhenUsed/>
  </w:style>
  <w:style w:type="paragraph" w:styleId="820">
    <w:name w:val="Обычный (веб)"/>
    <w:basedOn w:val="816"/>
    <w:next w:val="820"/>
    <w:link w:val="81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1">
    <w:name w:val="ConsPlusNormal"/>
    <w:next w:val="821"/>
    <w:link w:val="822"/>
    <w:uiPriority w:val="99"/>
    <w:pPr>
      <w:widowControl w:val="off"/>
    </w:pPr>
    <w:rPr>
      <w:rFonts w:eastAsia="Times New Roman"/>
      <w:sz w:val="22"/>
      <w:lang w:val="ru-RU" w:eastAsia="ru-RU" w:bidi="ar-SA"/>
    </w:rPr>
  </w:style>
  <w:style w:type="character" w:styleId="822">
    <w:name w:val="ConsPlusNormal Знак"/>
    <w:next w:val="822"/>
    <w:link w:val="821"/>
    <w:uiPriority w:val="99"/>
    <w:rPr>
      <w:rFonts w:ascii="Calibri" w:hAnsi="Calibri" w:eastAsia="Times New Roman" w:cs="Times New Roman"/>
      <w:szCs w:val="20"/>
      <w:lang w:eastAsia="ru-RU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10</cp:revision>
  <dcterms:created xsi:type="dcterms:W3CDTF">2022-02-07T13:30:00Z</dcterms:created>
  <dcterms:modified xsi:type="dcterms:W3CDTF">2025-08-20T14:20:01Z</dcterms:modified>
  <cp:version>917504</cp:version>
</cp:coreProperties>
</file>