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0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hint="default" w:ascii="Times New Roman" w:hAnsi="Times New Roman" w:eastAsia="Times New Roman"/>
          <w:b w:val="0"/>
          <w:bCs w:val="0"/>
          <w:sz w:val="26"/>
          <w:szCs w:val="26"/>
          <w:vertAlign w:val="baseline"/>
          <w:lang w:val="en-US" w:eastAsia="ru-RU"/>
        </w:rPr>
        <w:t xml:space="preserve">Об утверждении порядка предоставления с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vertAlign w:val="baseline"/>
          <w:lang w:eastAsia="ru-RU"/>
        </w:rPr>
        <w:t xml:space="preserve">убсидий</w:t>
      </w:r>
      <w:r>
        <w:rPr>
          <w:rFonts w:hint="default" w:ascii="Times New Roman" w:hAnsi="Times New Roman" w:eastAsia="Times New Roman"/>
          <w:b w:val="0"/>
          <w:bCs w:val="0"/>
          <w:sz w:val="26"/>
          <w:szCs w:val="26"/>
          <w:vertAlign w:val="baseline"/>
          <w:lang w:val="en-US" w:eastAsia="ru-RU"/>
        </w:rPr>
        <w:t xml:space="preserve"> на возмещ</w:t>
      </w:r>
      <w:r>
        <w:rPr>
          <w:rFonts w:hint="default" w:ascii="Times New Roman" w:hAnsi="Times New Roman" w:eastAsia="Times New Roman"/>
          <w:b w:val="0"/>
          <w:bCs w:val="0"/>
          <w:sz w:val="26"/>
          <w:szCs w:val="26"/>
          <w:vertAlign w:val="baseline"/>
          <w:lang w:val="en-US" w:eastAsia="ru-RU"/>
        </w:rPr>
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апреля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г., окончание «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Проектом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Об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утверждении порядка предоставления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  <w:vertAlign w:val="baseline"/>
          <w:lang w:eastAsia="ru-RU"/>
        </w:rPr>
        <w:t xml:space="preserve">субсидий</w:t>
      </w:r>
      <w:r>
        <w:rPr>
          <w:rFonts w:hint="default" w:ascii="Times New Roman" w:hAnsi="Times New Roman" w:eastAsia="Times New Roman"/>
          <w:b w:val="0"/>
          <w:bCs w:val="0"/>
          <w:sz w:val="26"/>
          <w:szCs w:val="26"/>
          <w:highlight w:val="none"/>
          <w:vertAlign w:val="baseline"/>
          <w:lang w:val="en-US" w:eastAsia="ru-RU"/>
        </w:rPr>
        <w:t xml:space="preserve"> на возмещ</w:t>
      </w:r>
      <w:r>
        <w:rPr>
          <w:rFonts w:hint="default" w:ascii="Times New Roman" w:hAnsi="Times New Roman" w:eastAsia="Times New Roman"/>
          <w:b w:val="0"/>
          <w:bCs w:val="0"/>
          <w:sz w:val="26"/>
          <w:szCs w:val="26"/>
          <w:highlight w:val="none"/>
          <w:vertAlign w:val="baseline"/>
          <w:lang w:val="en-US" w:eastAsia="ru-RU"/>
        </w:rPr>
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»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расширяется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перечень мер поддержки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на развитие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малых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форм хозяйствования на территории Белгородской области. 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Белая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Ирина Игоревна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развития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потребкооперации и мониторинга показателей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малых форм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хозяйствования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департамента устойчивого развития сельских территорий министерства сельского хозяйства и продовольствия области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24-76-4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r>
        <w:fldChar w:fldCharType="begin"/>
      </w:r>
      <w:r>
        <w:instrText xml:space="preserve"> HYPERLINK "mailto:trufanova@belapk.ru" \o "mailto:trufanova@belapk.ru" </w:instrText>
      </w:r>
      <w:r>
        <w:fldChar w:fldCharType="separate"/>
      </w:r>
      <w:r>
        <w:rPr>
          <w:rStyle w:val="658"/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belaya_ii</w:t>
      </w:r>
      <w:r>
        <w:rPr>
          <w:rStyle w:val="658"/>
          <w:rFonts w:ascii="Times New Roman" w:hAnsi="Times New Roman" w:eastAsia="Times New Roman" w:cs="Times New Roman"/>
          <w:sz w:val="26"/>
          <w:szCs w:val="26"/>
        </w:rPr>
        <w:t xml:space="preserve">@bel</w:t>
      </w:r>
      <w:r>
        <w:rPr>
          <w:rStyle w:val="658"/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gov</w:t>
      </w:r>
      <w:r>
        <w:rPr>
          <w:rStyle w:val="658"/>
          <w:rFonts w:ascii="Times New Roman" w:hAnsi="Times New Roman" w:eastAsia="Times New Roman" w:cs="Times New Roman"/>
          <w:sz w:val="26"/>
          <w:szCs w:val="26"/>
        </w:rPr>
        <w:t xml:space="preserve">.ru</w:t>
      </w:r>
      <w:r>
        <w:rPr>
          <w:rStyle w:val="658"/>
          <w:rFonts w:ascii="Times New Roman" w:hAnsi="Times New Roman" w:eastAsia="Times New Roman" w:cs="Times New Roman"/>
          <w:sz w:val="26"/>
          <w:szCs w:val="26"/>
        </w:rPr>
        <w:fldChar w:fldCharType="end"/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tabs>
          <w:tab w:val="center" w:pos="481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отсутствие государственной поддержки на компенсацию затрат, связанных с развитием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малых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сельских пекарен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мониторинг мер поддержки сельскохозяйственных предприятий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получения федерального финансирования без разработки региональной нормативной базы в данной сфере и предоставления государственной поддержки в целях развития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малых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сельских пекарен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. Невозможность проведения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отборов.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Отсутствие альтернативных методов поддержки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малых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сельских пекарен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современных условиях.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настоящее время органами исполнительной власти всех субъектов Российской Федерации ведутся работы по принятию аналогичных нормативных правовых актов, предусматривающих утверждение порядков предоставления государственной поддержки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на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развитие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малых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сельских пекарен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numPr>
          <w:ilvl w:val="0"/>
          <w:numId w:val="1"/>
        </w:num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3.1. Описание целей предлагаемого правового регулирования: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оказание государственной поддержки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индивидуальным предпринимателям и юридическим лица, осуществляющим производство хлеба и хлебобулочных изделий на территории Белгородской области.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3.2. Обоснование соответствия целей предлагаемого прав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ового регу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кта разработан в соответствии с 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проектом нормативного правового акта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утвержда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ется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порядок предоставления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убсидии</w:t>
      </w:r>
      <w:r>
        <w:rPr>
          <w:rFonts w:hint="default" w:ascii="Times New Roman" w:hAnsi="Times New Roman" w:eastAsia="Times New Roman"/>
          <w:b w:val="0"/>
          <w:bCs w:val="0"/>
          <w:sz w:val="26"/>
          <w:szCs w:val="26"/>
          <w:highlight w:val="none"/>
          <w:vertAlign w:val="baseline"/>
          <w:lang w:val="en-US" w:eastAsia="ru-RU"/>
        </w:rPr>
        <w:t xml:space="preserve"> на возмещ</w:t>
      </w:r>
      <w:r>
        <w:rPr>
          <w:rFonts w:hint="default" w:ascii="Times New Roman" w:hAnsi="Times New Roman" w:eastAsia="Times New Roman"/>
          <w:b w:val="0"/>
          <w:bCs w:val="0"/>
          <w:sz w:val="26"/>
          <w:szCs w:val="26"/>
          <w:highlight w:val="none"/>
          <w:vertAlign w:val="baseline"/>
          <w:lang w:val="en-US" w:eastAsia="ru-RU"/>
        </w:rPr>
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, включащий в себя: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50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порядок проведения отбора;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pStyle w:val="850"/>
        <w:numPr>
          <w:ilvl w:val="0"/>
          <w:numId w:val="3"/>
        </w:numPr>
        <w:ind w:right="0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условия и порядок предоставления субсидий;</w:t>
      </w:r>
      <w:r/>
    </w:p>
    <w:p>
      <w:pPr>
        <w:pStyle w:val="850"/>
        <w:numPr>
          <w:ilvl w:val="0"/>
          <w:numId w:val="3"/>
        </w:numPr>
        <w:ind w:right="0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требования по представлению отчетности;</w:t>
      </w:r>
      <w:r/>
    </w:p>
    <w:p>
      <w:pPr>
        <w:pStyle w:val="842"/>
        <w:numPr>
          <w:ilvl w:val="0"/>
          <w:numId w:val="3"/>
        </w:numPr>
        <w:ind w:right="0"/>
        <w:jc w:val="both"/>
        <w:tabs>
          <w:tab w:val="left" w:pos="5531" w:leader="none"/>
          <w:tab w:val="left" w:pos="8111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outlineLvl w:val="1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требования к осуществлению контроля за соблюдением условий, целей и порядка предоставления субсидии и ответственность за их нарушение</w:t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развитие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малых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сельских пекарен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за счет собственных или заемных средств; </w:t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4.3. 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trike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При среднем размере субсидии в сумме 1 млн. руб. в случае привлечения заемных   средств   в   вышеуказанной   сумме   (под процентную ставку в размере 5 %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(в сфере АПК) на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12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месяц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ев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переплата получа</w:t>
      </w:r>
      <w:r>
        <w:rPr>
          <w:rFonts w:ascii="Times New Roman" w:hAnsi="Times New Roman" w:eastAsia="Calibri" w:cs="Times New Roman"/>
          <w:strike w:val="0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теля составит </w:t>
      </w:r>
      <w:r>
        <w:rPr>
          <w:rFonts w:ascii="Times New Roman" w:hAnsi="Times New Roman" w:eastAsia="Open Sans" w:cs="Times New Roman"/>
          <w:strike w:val="0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27 289,79</w:t>
      </w:r>
      <w:r>
        <w:rPr>
          <w:rFonts w:ascii="Times New Roman" w:hAnsi="Times New Roman" w:eastAsia="Calibri" w:cs="Times New Roman"/>
          <w:strike w:val="0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Таким образом, оптимальным вариантом решения проблемы департамент устойчивого разв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ития сельских территорий министерства сельского хозяйства и продовольствия области считает принятие подготовленного проекта постановления Правительства Белгородской области, который позволит предоставлять государственную поддержку на развитие деятельности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малым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сельским пекарням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области, снизить их фин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ансовую нагрузку, создаст оптимальные условия для эффективного освоения предоставленной государственной поддержки, будет способствовать повышению заинтересованности в создании и развитии рентабельного производства в сельской местности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55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Индивидуальные предприниматели  и юридические лица, осуществляющие производство хлеба и хлебобулочных изделий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не менее </w:t>
            </w:r>
            <w:r>
              <w:rPr>
                <w:rFonts w:hint="default"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55"/>
        <w:tblpPr w:horzAnchor="margin" w:tblpXSpec="left" w:vertAnchor="text" w:tblpY="69" w:leftFromText="180" w:topFromText="0" w:rightFromText="180" w:bottomFromText="0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703"/>
        <w:gridCol w:w="4137"/>
        <w:gridCol w:w="2879"/>
      </w:tblGrid>
      <w:tr>
        <w:trPr>
          <w:trHeight w:val="13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/>
          </w:p>
        </w:tc>
      </w:tr>
      <w:tr>
        <w:trPr>
          <w:cantSplit/>
          <w:trHeight w:val="16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Индивидуальные предприниматели  и юридические лица, осуществляющие производство хлеба и хлебобулочных изделий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7" w:type="dxa"/>
            <w:textDirection w:val="lrTb"/>
            <w:noWrap w:val="false"/>
          </w:tcPr>
          <w:p>
            <w:pPr>
              <w:pStyle w:val="675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Преимущества:</w:t>
            </w:r>
            <w:r>
              <w:rPr>
                <w:highlight w:val="none"/>
              </w:rPr>
            </w:r>
          </w:p>
          <w:p>
            <w:pPr>
              <w:pStyle w:val="675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-</w:t>
            </w: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возможность участвовать</w:t>
            </w:r>
            <w:r>
              <w:rPr>
                <w:rFonts w:hint="default" w:eastAsia="Calibri"/>
                <w:sz w:val="26"/>
                <w:szCs w:val="26"/>
                <w:highlight w:val="none"/>
                <w:lang w:val="ru-RU"/>
              </w:rPr>
              <w:t xml:space="preserve"> в отборе для получения субсидии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6"/>
                <w:szCs w:val="26"/>
                <w:highlight w:val="none"/>
                <w:vertAlign w:val="baseline"/>
                <w:lang w:val="en-US" w:eastAsia="ru-RU"/>
              </w:rPr>
              <w:t xml:space="preserve">на возмещ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6"/>
                <w:szCs w:val="26"/>
                <w:highlight w:val="none"/>
                <w:vertAlign w:val="baseline"/>
                <w:lang w:val="en-US" w:eastAsia="ru-RU"/>
              </w:rPr>
      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      </w:r>
            <w:r>
              <w:rPr>
                <w:rFonts w:eastAsia="Calibri"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9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</w:p>
          <w:p>
            <w:pPr>
              <w:pStyle w:val="675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</w:p>
          <w:p>
            <w:pPr>
              <w:pStyle w:val="675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</w:p>
          <w:p>
            <w:pPr>
              <w:pStyle w:val="675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</w:p>
          <w:p>
            <w:pPr>
              <w:pStyle w:val="675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</w:p>
          <w:p>
            <w:pPr>
              <w:pStyle w:val="675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</w:p>
          <w:p>
            <w:pPr>
              <w:pStyle w:val="675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Общая стоимость требования по предоставлению</w:t>
            </w:r>
            <w:r>
              <w:rPr>
                <w:highlight w:val="none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пакета документов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11338,42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..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highlight w:val="none"/>
              </w:rPr>
            </w:r>
          </w:p>
        </w:tc>
      </w:tr>
      <w:tr>
        <w:trPr>
          <w:cantSplit/>
          <w:trHeight w:val="167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0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7" w:type="dxa"/>
            <w:textDirection w:val="lrTb"/>
            <w:noWrap w:val="false"/>
          </w:tcPr>
          <w:p>
            <w:pPr>
              <w:pStyle w:val="675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Обязанности:</w:t>
            </w:r>
            <w:r>
              <w:rPr>
                <w:highlight w:val="none"/>
              </w:rPr>
            </w:r>
          </w:p>
          <w:p>
            <w:pPr>
              <w:pStyle w:val="675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-предоставление пакета документов, необходимого для участия в  отборах</w:t>
            </w:r>
            <w:r>
              <w:rPr>
                <w:highlight w:val="none"/>
              </w:rPr>
            </w:r>
          </w:p>
          <w:p>
            <w:pPr>
              <w:pStyle w:val="675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79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55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55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редоставление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 из областного бюджета субсидии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6"/>
                <w:szCs w:val="26"/>
                <w:vertAlign w:val="baseline"/>
                <w:lang w:val="en-US" w:eastAsia="ru-RU"/>
              </w:rPr>
              <w:t xml:space="preserve">на возмещ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6"/>
                <w:szCs w:val="26"/>
                <w:vertAlign w:val="baseline"/>
                <w:lang w:val="en-US" w:eastAsia="ru-RU"/>
              </w:rPr>
      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Финансирование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на предоставление субсидии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в 202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году на общую сумму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6448,52941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рублей, в том числе из федерального бюджета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4385,00000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руб. (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68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%) и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2063,52941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руб. (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32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%) из бюджета Белгородской области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655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left="142" w:firstLine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Сокращение интереса к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развитию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малых сельских пекарен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55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48"/>
        <w:gridCol w:w="1421"/>
        <w:gridCol w:w="1559"/>
        <w:gridCol w:w="1131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Объем финанси-</w:t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Размещение информации о принятии постановления Правительства Белгородской области на  официальном сайте департамента (belapk.ru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май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202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Обращение заявителей для участия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нет</w:t>
            </w:r>
            <w:r/>
          </w:p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Мониторинг предоставленных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субсидий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6"/>
                <w:szCs w:val="26"/>
                <w:vertAlign w:val="baseline"/>
                <w:lang w:val="en-US" w:eastAsia="ru-RU"/>
              </w:rPr>
              <w:t xml:space="preserve">на возмещ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6"/>
                <w:szCs w:val="26"/>
                <w:vertAlign w:val="baseline"/>
                <w:lang w:val="en-US" w:eastAsia="ru-RU"/>
              </w:rPr>
      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май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-декабрь 2026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27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Предостав-ление субсидий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tbl>
      <w:tblPr>
        <w:tblStyle w:val="655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1652"/>
        <w:gridCol w:w="2171"/>
        <w:gridCol w:w="1988"/>
      </w:tblGrid>
      <w:tr>
        <w:trPr>
          <w:trHeight w:val="15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2" w:type="dxa"/>
            <w:textDirection w:val="lrTb"/>
            <w:noWrap w:val="false"/>
          </w:tcPr>
          <w:p>
            <w:pPr>
              <w:ind w:left="-113" w:right="-113" w:firstLine="108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(не более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5 лет)</w:t>
            </w:r>
            <w:r/>
          </w:p>
        </w:tc>
      </w:tr>
      <w:tr>
        <w:trPr>
          <w:trHeight w:val="1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Оказание государственной поддержки в виде предоставления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субсидий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развитие малых сельских пекарен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не менее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top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  <w:tab w:val="right" w:pos="1955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Оценка поступивших заявок </w:t>
            </w:r>
            <w:bookmarkStart w:id="1" w:name="_GoBack"/>
            <w:r/>
            <w:bookmarkEnd w:id="1"/>
            <w:r>
              <w:tab/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ind w:left="-8" w:right="-131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 в конце года предоставления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субсидий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2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Open Sans">
    <w:panose1 w:val="020B0606030504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5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45">
    <w:name w:val="Heading 1"/>
    <w:basedOn w:val="644"/>
    <w:next w:val="644"/>
    <w:link w:val="69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6">
    <w:name w:val="Heading 2"/>
    <w:basedOn w:val="644"/>
    <w:next w:val="644"/>
    <w:link w:val="69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7">
    <w:name w:val="Heading 3"/>
    <w:basedOn w:val="644"/>
    <w:next w:val="644"/>
    <w:link w:val="69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8">
    <w:name w:val="Heading 4"/>
    <w:basedOn w:val="644"/>
    <w:next w:val="644"/>
    <w:link w:val="69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9">
    <w:name w:val="Heading 5"/>
    <w:basedOn w:val="644"/>
    <w:next w:val="644"/>
    <w:link w:val="69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644"/>
    <w:next w:val="644"/>
    <w:link w:val="69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1">
    <w:name w:val="Heading 7"/>
    <w:basedOn w:val="644"/>
    <w:next w:val="644"/>
    <w:link w:val="69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2">
    <w:name w:val="Heading 8"/>
    <w:basedOn w:val="644"/>
    <w:next w:val="644"/>
    <w:link w:val="70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3">
    <w:name w:val="Heading 9"/>
    <w:basedOn w:val="644"/>
    <w:next w:val="644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 w:default="1">
    <w:name w:val="Default Paragraph Font"/>
    <w:uiPriority w:val="1"/>
    <w:semiHidden/>
    <w:unhideWhenUsed/>
    <w:qFormat/>
  </w:style>
  <w:style w:type="table" w:styleId="65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6">
    <w:name w:val="footnote reference"/>
    <w:basedOn w:val="654"/>
    <w:uiPriority w:val="99"/>
    <w:unhideWhenUsed/>
    <w:qFormat/>
    <w:rPr>
      <w:vertAlign w:val="superscript"/>
    </w:rPr>
  </w:style>
  <w:style w:type="character" w:styleId="657">
    <w:name w:val="endnote reference"/>
    <w:basedOn w:val="654"/>
    <w:uiPriority w:val="99"/>
    <w:semiHidden/>
    <w:unhideWhenUsed/>
    <w:qFormat/>
    <w:rPr>
      <w:vertAlign w:val="superscript"/>
    </w:rPr>
  </w:style>
  <w:style w:type="character" w:styleId="658">
    <w:name w:val="Hyperlink"/>
    <w:basedOn w:val="654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59">
    <w:name w:val="endnote text"/>
    <w:basedOn w:val="644"/>
    <w:link w:val="838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60">
    <w:name w:val="Caption"/>
    <w:basedOn w:val="644"/>
    <w:next w:val="644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1">
    <w:name w:val="footnote text"/>
    <w:basedOn w:val="644"/>
    <w:link w:val="837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62">
    <w:name w:val="toc 8"/>
    <w:basedOn w:val="644"/>
    <w:next w:val="644"/>
    <w:uiPriority w:val="39"/>
    <w:unhideWhenUsed/>
    <w:qFormat/>
    <w:pPr>
      <w:ind w:left="1984"/>
      <w:spacing w:after="57"/>
    </w:pPr>
  </w:style>
  <w:style w:type="paragraph" w:styleId="663">
    <w:name w:val="Header"/>
    <w:basedOn w:val="644"/>
    <w:link w:val="85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4">
    <w:name w:val="toc 9"/>
    <w:basedOn w:val="644"/>
    <w:next w:val="644"/>
    <w:uiPriority w:val="39"/>
    <w:unhideWhenUsed/>
    <w:qFormat/>
    <w:pPr>
      <w:ind w:left="2268"/>
      <w:spacing w:after="57"/>
    </w:pPr>
  </w:style>
  <w:style w:type="paragraph" w:styleId="665">
    <w:name w:val="toc 7"/>
    <w:basedOn w:val="644"/>
    <w:next w:val="644"/>
    <w:uiPriority w:val="39"/>
    <w:unhideWhenUsed/>
    <w:qFormat/>
    <w:pPr>
      <w:ind w:left="1701"/>
      <w:spacing w:after="57"/>
    </w:pPr>
  </w:style>
  <w:style w:type="paragraph" w:styleId="666">
    <w:name w:val="toc 1"/>
    <w:basedOn w:val="644"/>
    <w:next w:val="644"/>
    <w:uiPriority w:val="39"/>
    <w:unhideWhenUsed/>
    <w:qFormat/>
    <w:pPr>
      <w:spacing w:after="57"/>
    </w:pPr>
  </w:style>
  <w:style w:type="paragraph" w:styleId="667">
    <w:name w:val="toc 6"/>
    <w:basedOn w:val="644"/>
    <w:next w:val="644"/>
    <w:uiPriority w:val="39"/>
    <w:unhideWhenUsed/>
    <w:qFormat/>
    <w:pPr>
      <w:ind w:left="1417"/>
      <w:spacing w:after="57"/>
    </w:pPr>
  </w:style>
  <w:style w:type="paragraph" w:styleId="668">
    <w:name w:val="table of figures"/>
    <w:basedOn w:val="644"/>
    <w:next w:val="644"/>
    <w:uiPriority w:val="99"/>
    <w:unhideWhenUsed/>
    <w:qFormat/>
    <w:pPr>
      <w:spacing w:after="0"/>
    </w:pPr>
  </w:style>
  <w:style w:type="paragraph" w:styleId="669">
    <w:name w:val="toc 3"/>
    <w:basedOn w:val="644"/>
    <w:next w:val="644"/>
    <w:uiPriority w:val="39"/>
    <w:unhideWhenUsed/>
    <w:qFormat/>
    <w:pPr>
      <w:ind w:left="567"/>
      <w:spacing w:after="57"/>
    </w:pPr>
  </w:style>
  <w:style w:type="paragraph" w:styleId="670">
    <w:name w:val="toc 2"/>
    <w:basedOn w:val="644"/>
    <w:next w:val="644"/>
    <w:uiPriority w:val="39"/>
    <w:unhideWhenUsed/>
    <w:qFormat/>
    <w:pPr>
      <w:ind w:left="283"/>
      <w:spacing w:after="57"/>
    </w:pPr>
  </w:style>
  <w:style w:type="paragraph" w:styleId="671">
    <w:name w:val="toc 4"/>
    <w:basedOn w:val="644"/>
    <w:next w:val="644"/>
    <w:uiPriority w:val="39"/>
    <w:unhideWhenUsed/>
    <w:qFormat/>
    <w:pPr>
      <w:ind w:left="850"/>
      <w:spacing w:after="57"/>
    </w:pPr>
  </w:style>
  <w:style w:type="paragraph" w:styleId="672">
    <w:name w:val="toc 5"/>
    <w:basedOn w:val="644"/>
    <w:next w:val="644"/>
    <w:uiPriority w:val="39"/>
    <w:unhideWhenUsed/>
    <w:qFormat/>
    <w:pPr>
      <w:ind w:left="1134"/>
      <w:spacing w:after="57"/>
    </w:pPr>
  </w:style>
  <w:style w:type="paragraph" w:styleId="673">
    <w:name w:val="Title"/>
    <w:basedOn w:val="644"/>
    <w:next w:val="644"/>
    <w:link w:val="703"/>
    <w:uiPriority w:val="10"/>
    <w:qFormat/>
    <w:pPr>
      <w:contextualSpacing/>
      <w:spacing w:before="300"/>
    </w:pPr>
    <w:rPr>
      <w:sz w:val="48"/>
      <w:szCs w:val="48"/>
    </w:rPr>
  </w:style>
  <w:style w:type="paragraph" w:styleId="674">
    <w:name w:val="Footer"/>
    <w:basedOn w:val="644"/>
    <w:link w:val="85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5">
    <w:name w:val="Normal (Web)"/>
    <w:basedOn w:val="644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Subtitle"/>
    <w:basedOn w:val="644"/>
    <w:next w:val="644"/>
    <w:link w:val="704"/>
    <w:uiPriority w:val="11"/>
    <w:qFormat/>
    <w:pPr>
      <w:spacing w:before="200"/>
    </w:pPr>
    <w:rPr>
      <w:sz w:val="24"/>
      <w:szCs w:val="24"/>
    </w:rPr>
  </w:style>
  <w:style w:type="table" w:styleId="677">
    <w:name w:val="Table Grid"/>
    <w:basedOn w:val="65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8" w:customStyle="1">
    <w:name w:val="Heading 1 Char"/>
    <w:basedOn w:val="654"/>
    <w:uiPriority w:val="9"/>
    <w:qFormat/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54"/>
    <w:uiPriority w:val="9"/>
    <w:qFormat/>
    <w:rPr>
      <w:rFonts w:ascii="Arial" w:hAnsi="Arial" w:eastAsia="Arial" w:cs="Arial"/>
      <w:sz w:val="34"/>
    </w:rPr>
  </w:style>
  <w:style w:type="character" w:styleId="680" w:customStyle="1">
    <w:name w:val="Heading 3 Char"/>
    <w:basedOn w:val="654"/>
    <w:uiPriority w:val="9"/>
    <w:qFormat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5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5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6 Char"/>
    <w:basedOn w:val="65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Heading 7 Char"/>
    <w:basedOn w:val="65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Heading 8 Char"/>
    <w:basedOn w:val="65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Heading 9 Char"/>
    <w:basedOn w:val="65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Title Char"/>
    <w:basedOn w:val="654"/>
    <w:uiPriority w:val="10"/>
    <w:qFormat/>
    <w:rPr>
      <w:sz w:val="48"/>
      <w:szCs w:val="48"/>
    </w:rPr>
  </w:style>
  <w:style w:type="character" w:styleId="688" w:customStyle="1">
    <w:name w:val="Subtitle Char"/>
    <w:basedOn w:val="654"/>
    <w:uiPriority w:val="11"/>
    <w:qFormat/>
    <w:rPr>
      <w:sz w:val="24"/>
      <w:szCs w:val="24"/>
    </w:rPr>
  </w:style>
  <w:style w:type="character" w:styleId="689" w:customStyle="1">
    <w:name w:val="Quote Char"/>
    <w:uiPriority w:val="29"/>
    <w:qFormat/>
    <w:rPr>
      <w:i/>
    </w:rPr>
  </w:style>
  <w:style w:type="character" w:styleId="690" w:customStyle="1">
    <w:name w:val="Intense Quote Char"/>
    <w:uiPriority w:val="30"/>
    <w:qFormat/>
    <w:rPr>
      <w:i/>
    </w:rPr>
  </w:style>
  <w:style w:type="character" w:styleId="691" w:customStyle="1">
    <w:name w:val="Footnote Text Char"/>
    <w:uiPriority w:val="99"/>
    <w:qFormat/>
    <w:rPr>
      <w:sz w:val="18"/>
    </w:rPr>
  </w:style>
  <w:style w:type="character" w:styleId="692" w:customStyle="1">
    <w:name w:val="Endnote Text Char"/>
    <w:uiPriority w:val="99"/>
    <w:qFormat/>
    <w:rPr>
      <w:sz w:val="20"/>
    </w:rPr>
  </w:style>
  <w:style w:type="character" w:styleId="693" w:customStyle="1">
    <w:name w:val="Заголовок 1 Знак"/>
    <w:basedOn w:val="654"/>
    <w:link w:val="645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54"/>
    <w:link w:val="646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54"/>
    <w:link w:val="647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54"/>
    <w:link w:val="64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54"/>
    <w:link w:val="64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54"/>
    <w:link w:val="65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54"/>
    <w:link w:val="65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54"/>
    <w:link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54"/>
    <w:link w:val="65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03" w:customStyle="1">
    <w:name w:val="Заголовок Знак"/>
    <w:basedOn w:val="654"/>
    <w:link w:val="673"/>
    <w:uiPriority w:val="10"/>
    <w:qFormat/>
    <w:rPr>
      <w:sz w:val="48"/>
      <w:szCs w:val="48"/>
    </w:rPr>
  </w:style>
  <w:style w:type="character" w:styleId="704" w:customStyle="1">
    <w:name w:val="Подзаголовок Знак"/>
    <w:basedOn w:val="654"/>
    <w:link w:val="676"/>
    <w:uiPriority w:val="11"/>
    <w:qFormat/>
    <w:rPr>
      <w:sz w:val="24"/>
      <w:szCs w:val="24"/>
    </w:rPr>
  </w:style>
  <w:style w:type="paragraph" w:styleId="705">
    <w:name w:val="Quote"/>
    <w:basedOn w:val="644"/>
    <w:next w:val="644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qFormat/>
    <w:rPr>
      <w:i/>
    </w:rPr>
  </w:style>
  <w:style w:type="paragraph" w:styleId="707">
    <w:name w:val="Intense Quote"/>
    <w:basedOn w:val="644"/>
    <w:next w:val="644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qFormat/>
    <w:rPr>
      <w:i/>
    </w:rPr>
  </w:style>
  <w:style w:type="character" w:styleId="709" w:customStyle="1">
    <w:name w:val="Header Char"/>
    <w:basedOn w:val="654"/>
    <w:uiPriority w:val="99"/>
    <w:qFormat/>
  </w:style>
  <w:style w:type="character" w:styleId="710" w:customStyle="1">
    <w:name w:val="Footer Char"/>
    <w:basedOn w:val="654"/>
    <w:uiPriority w:val="99"/>
    <w:qFormat/>
  </w:style>
  <w:style w:type="character" w:styleId="711" w:customStyle="1">
    <w:name w:val="Caption Char"/>
    <w:uiPriority w:val="99"/>
    <w:qFormat/>
  </w:style>
  <w:style w:type="table" w:styleId="712" w:customStyle="1">
    <w:name w:val="Table Grid Light"/>
    <w:basedOn w:val="65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13" w:customStyle="1">
    <w:name w:val="Plain Table 1"/>
    <w:basedOn w:val="65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basedOn w:val="65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basedOn w:val="6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basedOn w:val="6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basedOn w:val="6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basedOn w:val="65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5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5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5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5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5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5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65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5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5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5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5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5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5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basedOn w:val="65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5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5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5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5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5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5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basedOn w:val="65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5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41" w:customStyle="1">
    <w:name w:val="Grid Table 4 - Accent 2"/>
    <w:basedOn w:val="65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42" w:customStyle="1">
    <w:name w:val="Grid Table 4 - Accent 3"/>
    <w:basedOn w:val="65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43" w:customStyle="1">
    <w:name w:val="Grid Table 4 - Accent 4"/>
    <w:basedOn w:val="65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5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5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 w:customStyle="1">
    <w:name w:val="Grid Table 5 Dark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basedOn w:val="65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4" w:customStyle="1">
    <w:name w:val="Grid Table 6 Colorful - Accent 1"/>
    <w:basedOn w:val="65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5" w:customStyle="1">
    <w:name w:val="Grid Table 6 Colorful - Accent 2"/>
    <w:basedOn w:val="65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6" w:customStyle="1">
    <w:name w:val="Grid Table 6 Colorful - Accent 3"/>
    <w:basedOn w:val="65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7" w:customStyle="1">
    <w:name w:val="Grid Table 6 Colorful - Accent 4"/>
    <w:basedOn w:val="65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8" w:customStyle="1">
    <w:name w:val="Grid Table 6 Colorful - Accent 5"/>
    <w:basedOn w:val="65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9" w:customStyle="1">
    <w:name w:val="Grid Table 6 Colorful - Accent 6"/>
    <w:basedOn w:val="65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0" w:customStyle="1">
    <w:name w:val="Grid Table 7 Colorful"/>
    <w:basedOn w:val="65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5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5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5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5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5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5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"/>
    <w:basedOn w:val="65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5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5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5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5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5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5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basedOn w:val="65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5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5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5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5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5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5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basedOn w:val="65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5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5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5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5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5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5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basedOn w:val="65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5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5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5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5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5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5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65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6" w:customStyle="1">
    <w:name w:val="List Table 5 Dark - Accent 1"/>
    <w:basedOn w:val="65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2"/>
    <w:basedOn w:val="65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5 Dark - Accent 3"/>
    <w:basedOn w:val="65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9" w:customStyle="1">
    <w:name w:val="List Table 5 Dark - Accent 4"/>
    <w:basedOn w:val="65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0" w:customStyle="1">
    <w:name w:val="List Table 5 Dark - Accent 5"/>
    <w:basedOn w:val="65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1" w:customStyle="1">
    <w:name w:val="List Table 5 Dark - Accent 6"/>
    <w:basedOn w:val="65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6 Colorful"/>
    <w:basedOn w:val="65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3" w:customStyle="1">
    <w:name w:val="List Table 6 Colorful - Accent 1"/>
    <w:basedOn w:val="65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5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05" w:customStyle="1">
    <w:name w:val="List Table 6 Colorful - Accent 3"/>
    <w:basedOn w:val="65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06" w:customStyle="1">
    <w:name w:val="List Table 6 Colorful - Accent 4"/>
    <w:basedOn w:val="65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5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5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9" w:customStyle="1">
    <w:name w:val="List Table 7 Colorful"/>
    <w:basedOn w:val="65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5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5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5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5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5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5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7" w:customStyle="1">
    <w:name w:val="Lined - Accent 1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8" w:customStyle="1">
    <w:name w:val="Lined - Accent 2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9" w:customStyle="1">
    <w:name w:val="Lined - Accent 3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0" w:customStyle="1">
    <w:name w:val="Lined - Accent 4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4" w:customStyle="1">
    <w:name w:val="Bordered &amp; Lined - Accent 1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5" w:customStyle="1">
    <w:name w:val="Bordered &amp; Lined - Accent 2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6" w:customStyle="1">
    <w:name w:val="Bordered &amp; Lined - Accent 3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7" w:customStyle="1">
    <w:name w:val="Bordered &amp; Lined - Accent 4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5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5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1" w:customStyle="1">
    <w:name w:val="Bordered - Accent 1"/>
    <w:basedOn w:val="65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5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33" w:customStyle="1">
    <w:name w:val="Bordered - Accent 3"/>
    <w:basedOn w:val="65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34" w:customStyle="1">
    <w:name w:val="Bordered - Accent 4"/>
    <w:basedOn w:val="65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5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5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7" w:customStyle="1">
    <w:name w:val="Текст сноски Знак"/>
    <w:link w:val="661"/>
    <w:uiPriority w:val="99"/>
    <w:qFormat/>
    <w:rPr>
      <w:sz w:val="18"/>
    </w:rPr>
  </w:style>
  <w:style w:type="character" w:styleId="838" w:customStyle="1">
    <w:name w:val="Текст концевой сноски Знак"/>
    <w:link w:val="659"/>
    <w:uiPriority w:val="99"/>
    <w:qFormat/>
    <w:rPr>
      <w:sz w:val="20"/>
    </w:rPr>
  </w:style>
  <w:style w:type="paragraph" w:styleId="839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40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41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42" w:customStyle="1">
    <w:name w:val="ConsPlusTitl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43" w:customStyle="1">
    <w:name w:val="ConsPlusCel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44" w:customStyle="1">
    <w:name w:val="ConsPlusDoc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45" w:customStyle="1">
    <w:name w:val="ConsPlusTitlePag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46" w:customStyle="1">
    <w:name w:val="ConsPlusJurTerm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47" w:customStyle="1">
    <w:name w:val="ConsPlusText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48" w:customStyle="1">
    <w:name w:val="Знак"/>
    <w:basedOn w:val="64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9" w:customStyle="1">
    <w:name w:val="Знак1"/>
    <w:basedOn w:val="64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50">
    <w:name w:val="List Paragraph"/>
    <w:basedOn w:val="644"/>
    <w:uiPriority w:val="34"/>
    <w:qFormat/>
    <w:pPr>
      <w:contextualSpacing/>
      <w:ind w:left="720"/>
    </w:pPr>
  </w:style>
  <w:style w:type="character" w:styleId="851" w:customStyle="1">
    <w:name w:val="Верхний колонтитул Знак"/>
    <w:basedOn w:val="654"/>
    <w:link w:val="663"/>
    <w:uiPriority w:val="99"/>
    <w:qFormat/>
  </w:style>
  <w:style w:type="character" w:styleId="852" w:customStyle="1">
    <w:name w:val="Нижний колонтитул Знак"/>
    <w:basedOn w:val="654"/>
    <w:link w:val="674"/>
    <w:uiPriority w:val="99"/>
    <w:qFormat/>
  </w:style>
  <w:style w:type="character" w:styleId="853" w:customStyle="1">
    <w:name w:val="Unresolved Mention"/>
    <w:basedOn w:val="654"/>
    <w:uiPriority w:val="99"/>
    <w:semiHidden/>
    <w:unhideWhenUsed/>
    <w:qFormat/>
    <w:rPr>
      <w:color w:val="605e5c"/>
      <w:shd w:val="clear" w:color="auto" w:fill="e1dfdd"/>
    </w:rPr>
  </w:style>
  <w:style w:type="numbering" w:styleId="85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25</cp:revision>
  <dcterms:created xsi:type="dcterms:W3CDTF">2024-02-17T03:00:00Z</dcterms:created>
  <dcterms:modified xsi:type="dcterms:W3CDTF">2026-04-22T06:19:06Z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