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b/>
          <w:bCs/>
          <w:sz w:val="26"/>
          <w:szCs w:val="26"/>
        </w:rPr>
        <w:t xml:space="preserve">Сводный отчет</w:t>
      </w:r>
      <w:r>
        <w:rPr>
          <w:rFonts w:ascii="Times New Roman" w:hAnsi="Times New Roman" w:eastAsia="PT Astra Serif" w:cs="Times New Roman"/>
          <w:b/>
          <w:bCs/>
          <w:sz w:val="26"/>
          <w:szCs w:val="26"/>
        </w:rPr>
        <w:br/>
        <w:t xml:space="preserve">о результатах проведения оценки регулирующего воздействия</w:t>
      </w:r>
      <w:r>
        <w:rPr>
          <w:rFonts w:ascii="Times New Roman" w:hAnsi="Times New Roman" w:eastAsia="PT Astra Serif" w:cs="Times New Roman"/>
          <w:b/>
          <w:bCs/>
          <w:sz w:val="26"/>
          <w:szCs w:val="26"/>
        </w:rPr>
        <w:br/>
        <w:t xml:space="preserve">проекта нормативного правового акта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contextualSpacing/>
        <w:ind w:firstLine="709"/>
        <w:jc w:val="both"/>
        <w:spacing w:line="240" w:lineRule="auto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bCs/>
          <w:sz w:val="26"/>
          <w:szCs w:val="26"/>
        </w:rPr>
        <w:t xml:space="preserve">1. Общая информация: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ind w:firstLine="709"/>
        <w:jc w:val="both"/>
        <w:spacing w:line="240" w:lineRule="auto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1.1. Орган-разработчик (инициатор проек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та постановления Прави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тельства Белгородской области): Государственная инспекция по надзору за техническим состоянием самоходных машин и других видов техники Белгородской области </w:t>
        <w:br/>
        <w:t xml:space="preserve">с соответствующими государственными инспекциями городов и районов (далее – инспекция гостехнадзора)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1.2. Вид и наименование проекта нормативного правового акта: </w:t>
      </w:r>
      <w:r>
        <w:rPr>
          <w:rFonts w:ascii="Times New Roman" w:hAnsi="Times New Roman" w:eastAsia="PT Astra Serif" w:cs="Times New Roman"/>
          <w:spacing w:val="-4"/>
          <w:sz w:val="26"/>
          <w:szCs w:val="26"/>
        </w:rPr>
        <w:t xml:space="preserve">проект постановления Правительства Белгородской области</w:t>
      </w:r>
      <w:r>
        <w:rPr>
          <w:rFonts w:ascii="Times New Roman" w:hAnsi="Times New Roman" w:eastAsia="PT Astra Serif" w:cs="Times New Roman"/>
          <w:spacing w:val="-4"/>
          <w:sz w:val="26"/>
          <w:szCs w:val="26"/>
        </w:rPr>
        <w:t xml:space="preserve"> </w:t>
      </w:r>
      <w:r>
        <w:rPr>
          <w:rFonts w:ascii="Times New Roman" w:hAnsi="Times New Roman" w:eastAsia="PT Astra Serif" w:cs="Times New Roman"/>
          <w:spacing w:val="-4"/>
          <w:sz w:val="26"/>
          <w:szCs w:val="26"/>
        </w:rPr>
        <w:t xml:space="preserve">«О внесении изменений </w:t>
        <w:br/>
        <w:t xml:space="preserve">в постановление Правительства Белгородской области от 29 ноября 2021 года </w:t>
        <w:br/>
        <w:t xml:space="preserve">№ 552-пп  (далее – проект постановления).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ind w:firstLine="709"/>
        <w:jc w:val="both"/>
        <w:spacing w:line="240" w:lineRule="auto"/>
        <w:widowControl w:val="off"/>
        <w:rPr>
          <w:rFonts w:ascii="Times New Roman" w:hAnsi="Times New Roman" w:eastAsia="PT Astra Serif" w:cs="Times New Roman"/>
          <w:sz w:val="26"/>
          <w:szCs w:val="26"/>
          <w:highlight w:val="white"/>
        </w:rPr>
      </w:pP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</w:p>
    <w:p>
      <w:pPr>
        <w:ind w:firstLine="709"/>
        <w:jc w:val="both"/>
        <w:spacing w:line="240" w:lineRule="auto"/>
        <w:widowControl w:val="off"/>
        <w:rPr>
          <w:rFonts w:ascii="Times New Roman" w:hAnsi="Times New Roman" w:eastAsia="PT Astra Serif" w:cs="Times New Roman"/>
          <w:sz w:val="26"/>
          <w:szCs w:val="26"/>
          <w:highlight w:val="none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PT Astra Serif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а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кта: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 с «17» ноября  2025 года по «28» ноября 2025 года.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</w:r>
      <w:r/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  <w:highlight w:val="white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1.4. Степень регулирующего воздействия проекта нормативного правового акта: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средняя. 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</w:r>
      <w:r/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Проект приводится в соответствие с изменениями, вступившими в силу на федеральном уровне, а также проектом постановления предлагается расширить перечень профилактических мероприятий, проводимых в рамках осуществления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регионального государственного контроля (надзора) в области технического состояния и эксплуатации самоходных машин и других видов техники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, в частности в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водится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такой вид профилактических мероприятий, как само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обследование.</w:t>
      </w:r>
      <w:r>
        <w:rPr>
          <w:rFonts w:ascii="Times New Roman" w:hAnsi="Times New Roman" w:eastAsia="PT Astra Serif" w:cs="Times New Roman"/>
          <w:sz w:val="26"/>
          <w:szCs w:val="26"/>
          <w:highlight w:val="none"/>
          <w14:ligatures w14:val="none"/>
        </w:rPr>
      </w:r>
      <w:r/>
    </w:p>
    <w:p>
      <w:pPr>
        <w:pStyle w:val="837"/>
        <w:ind w:firstLine="708"/>
        <w:jc w:val="both"/>
        <w:spacing w:after="0" w:afterAutospacing="0"/>
        <w:rPr>
          <w:rFonts w:ascii="Times New Roman" w:hAnsi="Times New Roman" w:eastAsia="PT Astra Serif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Введение этого профилактического мероприятия расширит возможности контролируемых лиц снизить административну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ю нагрузку на них со стороны инспекции гостехнадзора области.</w:t>
      </w:r>
      <w:r>
        <w:rPr>
          <w:rFonts w:ascii="Times New Roman" w:hAnsi="Times New Roman" w:eastAsia="PT Astra Serif" w:cs="Times New Roman"/>
          <w:sz w:val="28"/>
          <w:szCs w:val="28"/>
          <w:highlight w:val="none"/>
          <w14:ligatures w14:val="none"/>
        </w:rPr>
      </w:r>
      <w:r/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Также с целью совершенствования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системы оценки и управления рисками причинения вреда (ущерба) охраняемым законом ценнос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тям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расширяется перечень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индикаторов риска нарушения обязательных требований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.</w:t>
      </w:r>
      <w:r>
        <w:rPr>
          <w:rFonts w:ascii="Times New Roman" w:hAnsi="Times New Roman" w:eastAsia="PT Astra Serif" w:cs="Times New Roman"/>
          <w:color w:val="000000" w:themeColor="text1"/>
          <w:sz w:val="28"/>
          <w:szCs w:val="28"/>
          <w14:ligatures w14:val="none"/>
        </w:rPr>
      </w:r>
      <w:r/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eastAsia="PT Astra Serif" w:cs="Times New Roman"/>
          <w:sz w:val="26"/>
          <w:szCs w:val="26"/>
          <w:highlight w:val="none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1.5. Контактная информация исполнителя в органе-разработчике: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/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Ф.И.О.: Михайлова Ольга Владимировна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Должность: начальник отдела регионального государственного надзора – заместитель главного государственного инженера-инспектора области </w:t>
        <w:br/>
        <w:t xml:space="preserve">по государственному надзору за техническим состоянием самоходных машин и других видов техники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eastAsia="PT Astra Serif" w:cs="Times New Roman"/>
          <w:sz w:val="26"/>
          <w:szCs w:val="26"/>
          <w14:ligatures w14:val="none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Тел.: (4722) 33-67-28. </w:t>
      </w:r>
      <w:r>
        <w:rPr>
          <w:rFonts w:ascii="Times New Roman" w:hAnsi="Times New Roman" w:eastAsia="PT Astra Serif" w:cs="Times New Roman"/>
          <w:sz w:val="26"/>
          <w:szCs w:val="26"/>
          <w14:ligatures w14:val="none"/>
        </w:rPr>
      </w:r>
    </w:p>
    <w:p>
      <w:pPr>
        <w:ind w:firstLine="709"/>
        <w:jc w:val="both"/>
        <w:spacing w:after="0" w:afterAutospacing="0" w:line="240" w:lineRule="auto"/>
        <w:widowControl w:val="off"/>
        <w:rPr>
          <w:rFonts w:ascii="Times New Roman" w:hAnsi="Times New Roman" w:eastAsia="PT Astra Serif" w:cs="Times New Roman"/>
          <w:sz w:val="26"/>
          <w:szCs w:val="26"/>
          <w14:ligatures w14:val="none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Адрес электронной почты: </w:t>
      </w:r>
      <w:r>
        <w:rPr>
          <w:rFonts w:ascii="Times New Roman" w:hAnsi="Times New Roman" w:eastAsia="PT Astra Serif" w:cs="Times New Roman"/>
          <w:sz w:val="26"/>
          <w:szCs w:val="26"/>
        </w:rPr>
      </w:r>
      <w:hyperlink r:id="rId9" w:tooltip="http://mikhaylova_ov@gtn.belregion.ru" w:history="1">
        <w:r>
          <w:rPr>
            <w:rFonts w:ascii="Times New Roman" w:hAnsi="Times New Roman" w:eastAsia="PT Astra Serif" w:cs="Times New Roman"/>
            <w:sz w:val="26"/>
            <w:szCs w:val="26"/>
          </w:rPr>
          <w:t xml:space="preserve">mikhaylova_ov</w:t>
        </w:r>
        <w:r>
          <w:rPr>
            <w:rFonts w:ascii="Times New Roman" w:hAnsi="Times New Roman" w:eastAsia="PT Astra Serif" w:cs="Times New Roman"/>
            <w:sz w:val="26"/>
            <w:szCs w:val="26"/>
          </w:rPr>
          <w:t xml:space="preserve">@gtn.belregion.ru</w:t>
        </w:r>
      </w:hyperlink>
      <w:r/>
      <w:r/>
    </w:p>
    <w:p>
      <w:pPr>
        <w:pStyle w:val="837"/>
        <w:ind w:firstLine="708"/>
        <w:jc w:val="both"/>
        <w:spacing w:after="0" w:afterAutospacing="0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7"/>
        <w:ind w:firstLine="708"/>
        <w:jc w:val="both"/>
        <w:spacing w:after="0" w:afterAutospacing="0"/>
        <w:rPr>
          <w:rFonts w:ascii="Times New Roman" w:hAnsi="Times New Roman" w:eastAsia="PT Astra Serif" w:cs="Times New Roman"/>
          <w:sz w:val="26"/>
          <w:szCs w:val="26"/>
          <w:highlight w:val="none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/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  <w:highlight w:val="none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 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/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</w:rPr>
        <w:t xml:space="preserve">Самообследование, как один из видов возможных профилактических мероприятий, предусмотренных федеральным законодательством, на региональном уровне отсутствует.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</w:rPr>
      </w:r>
      <w:r>
        <w:rPr>
          <w:color w:val="000000" w:themeColor="text1"/>
        </w:rPr>
      </w:r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</w:rPr>
        <w:t xml:space="preserve">Однако введение самообследования будет способствовать поддержанию техники в надлежащем техническом  состоянии, снижая риск поломок и аварийных ситуаций.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</w:rPr>
        <w:t xml:space="preserve">Это повысит ответственность собственников за техническое состояние своей техники.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</w:rPr>
      </w:r>
      <w:r>
        <w:rPr>
          <w:color w:val="000000" w:themeColor="text1"/>
        </w:rPr>
      </w:r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  <w:highlight w:val="none"/>
        </w:rPr>
      </w:pPr>
      <w:r>
        <w:rPr>
          <w:rFonts w:ascii="Times New Roman" w:hAnsi="Times New Roman" w:eastAsia="PT Astra Serif" w:cs="Times New Roman"/>
          <w:sz w:val="26"/>
          <w:szCs w:val="26"/>
          <w:highlight w:val="none"/>
        </w:rPr>
        <w:t xml:space="preserve">Кроме того, самообследование с дальнейшим принятием декларации позволит снизить административную нагрузку на контролируемое лицо, уменьшая количество выездных проверок, инициируемых инспекцией гостехнадзора.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/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  <w:highlight w:val="white"/>
        </w:rPr>
      </w:pP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2.2. 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Информация о возникновении и выявлении проблемы: 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согласно части 3 статьи 51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Федерального закона от 31 июля 2020 года № 248-ФЗ «О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 государственном контроле (надзоре) и муниципальном контроле в Российской Федерации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»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 порядок оценки добросовестности контролируемых лиц, а также принятие декларации соблюдения обязательных требований должны быть предусмотрены положением </w:t>
        <w:br/>
        <w:t xml:space="preserve">о надзоре.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</w:r>
      <w:r/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</w:rPr>
      </w:pP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</w:rPr>
        <w:t xml:space="preserve">Нарушение установленных требований к техническому состоянию самоходных машин и других видов техники может привести к увеличению проверок со стороны инспекции гостехнадзора.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</w:rPr>
      </w:r>
      <w:r>
        <w:rPr>
          <w:color w:val="000000" w:themeColor="text1"/>
        </w:rPr>
      </w:r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yellow"/>
        </w:rPr>
      </w:pP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</w:rPr>
        <w:t xml:space="preserve">Если машина будет признана небезопасной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</w:rPr>
        <w:t xml:space="preserve">возможно приостановление ее эксплуатации, что негативно скажется на хозяйственной деятельности контролируемого лица.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yellow"/>
        </w:rPr>
      </w:r>
      <w:r>
        <w:rPr>
          <w:color w:val="000000" w:themeColor="text1"/>
        </w:rPr>
      </w:r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2.4. Анализ опыта иных субъектов Российской Федерации в соответствующих сферах деятельности: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  <w:highlight w:val="white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в настоящее время самообследование как вид профилактического мероприятия  применяется в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 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г. Москве, Ростовской области, Ханты-Мансийском автономном округе -Югре.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PT Astra Serif" w:cs="Times New Roman"/>
          <w:sz w:val="26"/>
          <w:szCs w:val="26"/>
          <w:highlight w:val="none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3. Цели вводимого правового регулирования и измеримые показатели их достижения: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/>
    </w:p>
    <w:p>
      <w:pPr>
        <w:ind w:left="0" w:right="0" w:firstLine="709"/>
        <w:jc w:val="both"/>
        <w:spacing w:after="0" w:line="240" w:lineRule="auto"/>
        <w:rPr>
          <w:rFonts w:ascii="Times New Roman" w:hAnsi="Times New Roman" w:eastAsia="PT Astra Serif" w:cs="Times New Roman"/>
          <w:sz w:val="26"/>
          <w:szCs w:val="26"/>
          <w:highlight w:val="none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3.1. Описание целей предлагаемого правового регулирования: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7"/>
        <w:ind w:left="0" w:right="0" w:firstLine="709"/>
        <w:jc w:val="both"/>
        <w:rPr>
          <w:rFonts w:ascii="Times New Roman" w:hAnsi="Times New Roman" w:eastAsia="PT Astra Serif" w:cs="Times New Roman"/>
          <w:color w:val="000000" w:themeColor="text1"/>
          <w:highlight w:val="none"/>
        </w:rPr>
      </w:pP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</w:rPr>
        <w:t xml:space="preserve">Основной целью нормативного правового регулирования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</w:rPr>
        <w:t xml:space="preserve"> является повышение качества и эффективности осуществления регионального государственного надзора путем вовлечения самих контролируемых лиц в процесс самоконтроля и формирования условий минимизации возможных угроз безопасности населения и окружающей среды.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color w:val="000000" w:themeColor="text1"/>
        </w:rPr>
      </w:r>
    </w:p>
    <w:p>
      <w:pPr>
        <w:pStyle w:val="837"/>
        <w:ind w:left="0" w:right="0" w:firstLine="709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7"/>
        <w:ind w:left="0" w:right="0" w:firstLine="709"/>
        <w:jc w:val="both"/>
        <w:rPr>
          <w:rFonts w:ascii="Times New Roman" w:hAnsi="Times New Roman" w:eastAsia="PT Astra Serif" w:cs="Times New Roman"/>
          <w:color w:val="000000"/>
          <w:sz w:val="26"/>
          <w:szCs w:val="26"/>
        </w:rPr>
      </w:pP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проект нормативного правового акта разработан в соответствии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 </w:t>
        <w:br/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с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требованиями Федерального закона от 31 июля 2020 года № 248-ФЗ </w:t>
        <w:br/>
        <w:t xml:space="preserve">«О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 государственном контроле (надзоре) и муниципальном контроле в Российской Федерации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white"/>
        </w:rPr>
        <w:t xml:space="preserve">»</w:t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</w:r>
      <w:r/>
    </w:p>
    <w:p>
      <w:pPr>
        <w:pStyle w:val="837"/>
        <w:ind w:left="0" w:right="0" w:firstLine="709"/>
        <w:jc w:val="both"/>
        <w:rPr>
          <w:rFonts w:ascii="Times New Roman" w:hAnsi="Times New Roman" w:eastAsia="PT Astra Serif" w:cs="Times New Roman"/>
          <w:sz w:val="26"/>
          <w:szCs w:val="26"/>
          <w:highlight w:val="white"/>
          <w14:ligatures w14:val="none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3.3. Сроки достижения целей предлагаемого правового регулирования: 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в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 течение календарного года и далее постоянно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.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  <w14:ligatures w14:val="none"/>
        </w:rPr>
      </w:r>
      <w:r/>
    </w:p>
    <w:p>
      <w:pPr>
        <w:pStyle w:val="837"/>
        <w:ind w:left="0" w:right="0" w:firstLine="709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3.4.</w:t>
      </w:r>
      <w:r>
        <w:rPr>
          <w:rFonts w:ascii="Times New Roman" w:hAnsi="Times New Roman" w:eastAsia="PT Astra Serif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Иная информация о целях предлагаемого правового регулирования: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отсутствует.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7"/>
        <w:ind w:left="0" w:right="0" w:firstLine="709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7"/>
        <w:ind w:left="0" w:right="0" w:firstLine="709"/>
        <w:jc w:val="both"/>
        <w:rPr>
          <w:rFonts w:ascii="Times New Roman" w:hAnsi="Times New Roman" w:eastAsia="PT Astra Serif" w:cs="Times New Roman"/>
          <w:sz w:val="26"/>
          <w:szCs w:val="26"/>
          <w:highlight w:val="none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4. Описание предлагаемого правового регулирования: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/>
    </w:p>
    <w:p>
      <w:pPr>
        <w:pStyle w:val="837"/>
        <w:ind w:left="0" w:right="0" w:firstLine="709"/>
        <w:jc w:val="both"/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4.1.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Проектом постановления вводится такой вид профилактических мероприятий, как самообследование, а также расширяется перечень индикаторов риска.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color w:val="000000" w:themeColor="text1"/>
        </w:rPr>
      </w:r>
    </w:p>
    <w:p>
      <w:pPr>
        <w:pStyle w:val="837"/>
        <w:ind w:left="0" w:right="0" w:firstLine="709"/>
        <w:jc w:val="both"/>
        <w:rPr>
          <w:rFonts w:ascii="Times New Roman" w:hAnsi="Times New Roman" w:eastAsia="PT Astra Serif" w:cs="Times New Roman"/>
          <w:color w:val="000000" w:themeColor="text1"/>
          <w:sz w:val="26"/>
          <w:szCs w:val="26"/>
          <w14:ligatures w14:val="none"/>
        </w:rPr>
      </w:pP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</w:rPr>
        <w:t xml:space="preserve">Предлагаемый предмет правового регулирован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</w:rPr>
        <w:t xml:space="preserve">ия заключается в установлении возможности проведения самостоятельных профилактических обследований собственниками самоходных машин, направленных на выявление потенциальных рисков и поддержание необходимого уровня  технического состояния самоходной техники.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14:ligatures w14:val="none"/>
        </w:rPr>
      </w:r>
      <w:r>
        <w:rPr>
          <w:color w:val="000000" w:themeColor="text1"/>
        </w:rPr>
      </w:r>
    </w:p>
    <w:p>
      <w:pPr>
        <w:pStyle w:val="837"/>
        <w:ind w:left="0" w:right="0" w:firstLine="709"/>
        <w:jc w:val="both"/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Самообследование предполагает заполнение контролируемым лицом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перечня вопросов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lang w:val="ru-RU" w:eastAsia="ru-RU" w:bidi="ru-RU"/>
        </w:rPr>
        <w:t xml:space="preserve">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</w:rPr>
        <w:t xml:space="preserve">с последующим составлением декларации соблюдения обязательных требований. Методика проведения самообследования утверждается правовым актом инспекции гостехнадзора области. </w:t>
      </w:r>
      <w:r>
        <w:rPr>
          <w:rFonts w:ascii="Times New Roman" w:hAnsi="Times New Roman" w:eastAsia="PT Astra Serif" w:cs="Times New Roman"/>
          <w:color w:val="000000" w:themeColor="text1"/>
          <w:sz w:val="26"/>
          <w:szCs w:val="26"/>
          <w:highlight w:val="none"/>
          <w14:ligatures w14:val="none"/>
        </w:rPr>
      </w:r>
      <w:r>
        <w:rPr>
          <w:color w:val="000000" w:themeColor="text1"/>
        </w:rPr>
      </w:r>
    </w:p>
    <w:p>
      <w:pPr>
        <w:pStyle w:val="837"/>
        <w:ind w:left="0" w:right="0" w:firstLine="709"/>
        <w:jc w:val="both"/>
        <w:rPr>
          <w:rFonts w:ascii="Times New Roman" w:hAnsi="Times New Roman" w:eastAsia="PT Astra Serif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PT Astra Serif" w:cs="Times New Roman"/>
          <w:sz w:val="26"/>
          <w:szCs w:val="26"/>
          <w:highlight w:val="none"/>
          <w14:ligatures w14:val="none"/>
        </w:rPr>
        <w:t xml:space="preserve">Расширение перечня индикаторов риска нарушения обязательных требований позволит </w:t>
      </w:r>
      <w:r>
        <w:rPr>
          <w:rFonts w:ascii="Times New Roman" w:hAnsi="Times New Roman" w:eastAsia="PT Astra Serif" w:cs="Times New Roman"/>
          <w:sz w:val="26"/>
          <w:szCs w:val="26"/>
          <w:highlight w:val="none"/>
          <w14:ligatures w14:val="none"/>
        </w:rPr>
        <w:t xml:space="preserve">совершенствовать </w:t>
      </w:r>
      <w:r>
        <w:rPr>
          <w:rFonts w:ascii="Times New Roman" w:hAnsi="Times New Roman" w:eastAsia="PT Astra Serif" w:cs="Times New Roman"/>
          <w:sz w:val="26"/>
          <w:szCs w:val="26"/>
          <w:highlight w:val="none"/>
          <w14:ligatures w14:val="none"/>
        </w:rPr>
        <w:t xml:space="preserve">систему оценки и управления рисками причинения вреда (ущерба) охраняемым законом ценнос</w:t>
      </w:r>
      <w:r>
        <w:rPr>
          <w:rFonts w:ascii="Times New Roman" w:hAnsi="Times New Roman" w:eastAsia="PT Astra Serif" w:cs="Times New Roman"/>
          <w:sz w:val="26"/>
          <w:szCs w:val="26"/>
          <w:highlight w:val="none"/>
          <w14:ligatures w14:val="none"/>
        </w:rPr>
        <w:t xml:space="preserve">тям</w:t>
      </w:r>
      <w:r>
        <w:rPr>
          <w:rFonts w:ascii="Times New Roman" w:hAnsi="Times New Roman" w:eastAsia="PT Astra Serif" w:cs="Times New Roman"/>
          <w:sz w:val="26"/>
          <w:szCs w:val="26"/>
          <w:highlight w:val="none"/>
          <w14:ligatures w14:val="none"/>
        </w:rPr>
        <w:t xml:space="preserve">. </w:t>
      </w:r>
      <w:r>
        <w:rPr>
          <w:rFonts w:ascii="Times New Roman" w:hAnsi="Times New Roman" w:eastAsia="PT Astra Serif" w:cs="Times New Roman"/>
          <w:sz w:val="26"/>
          <w:szCs w:val="26"/>
          <w:highlight w:val="none"/>
          <w14:ligatures w14:val="none"/>
        </w:rPr>
      </w:r>
      <w:r/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  <w:highlight w:val="none"/>
        </w:rPr>
      </w:pPr>
      <w:r>
        <w:rPr>
          <w:rFonts w:ascii="Times New Roman" w:hAnsi="Times New Roman" w:eastAsia="PT Astra Serif" w:cs="Times New Roman"/>
          <w:sz w:val="28"/>
          <w:szCs w:val="28"/>
          <w:highlight w:val="none"/>
        </w:rPr>
      </w:r>
      <w:r>
        <w:rPr>
          <w:rFonts w:ascii="Times New Roman" w:hAnsi="Times New Roman" w:eastAsia="PT Astra Serif" w:cs="Times New Roman"/>
          <w:sz w:val="26"/>
          <w:szCs w:val="26"/>
        </w:rPr>
        <w:t xml:space="preserve">4.2. Альтернативные варианты решения проблемы: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/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7"/>
        <w:ind w:left="0" w:right="0" w:firstLine="0"/>
        <w:jc w:val="center"/>
        <w:rPr>
          <w:rFonts w:ascii="Times New Roman" w:hAnsi="Times New Roman" w:eastAsia="PT Astra Serif" w:cs="Times New Roman"/>
          <w:b/>
          <w:bCs/>
          <w:sz w:val="26"/>
          <w:szCs w:val="26"/>
        </w:rPr>
      </w:pPr>
      <w:r>
        <w:rPr>
          <w:rFonts w:ascii="Times New Roman" w:hAnsi="Times New Roman" w:eastAsia="PT Astra Serif" w:cs="Times New Roman"/>
          <w:b/>
          <w:bCs/>
          <w:sz w:val="26"/>
          <w:szCs w:val="26"/>
          <w:highlight w:val="none"/>
        </w:rPr>
        <w:t xml:space="preserve">Профилактические мероприятия, </w:t>
        <w:br/>
        <w:t xml:space="preserve">установленные на региональном уровне</w:t>
      </w:r>
      <w:r>
        <w:rPr>
          <w:rFonts w:ascii="Times New Roman" w:hAnsi="Times New Roman" w:eastAsia="PT Astra Serif" w:cs="Times New Roman"/>
          <w:b/>
          <w:bCs/>
          <w:sz w:val="26"/>
          <w:szCs w:val="26"/>
        </w:rPr>
      </w:r>
      <w:r/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tbl>
      <w:tblPr>
        <w:tblStyle w:val="693"/>
        <w:tblW w:w="0" w:type="auto"/>
        <w:tblLayout w:type="fixed"/>
        <w:tblLook w:val="04A0" w:firstRow="1" w:lastRow="0" w:firstColumn="1" w:lastColumn="0" w:noHBand="0" w:noVBand="1"/>
      </w:tblPr>
      <w:tblGrid>
        <w:gridCol w:w="4960"/>
        <w:gridCol w:w="4395"/>
      </w:tblGrid>
      <w:tr>
        <w:trPr/>
        <w:tc>
          <w:tcPr>
            <w:tcW w:w="4960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  <w:t xml:space="preserve">Текущее состояние 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r>
            <w:r/>
          </w:p>
        </w:tc>
        <w:tc>
          <w:tcPr>
            <w:tcW w:w="4395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  <w:t xml:space="preserve">Предлагаемое решение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r>
            <w:r/>
          </w:p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r>
            <w:r/>
          </w:p>
        </w:tc>
      </w:tr>
      <w:tr>
        <w:trPr/>
        <w:tc>
          <w:tcPr>
            <w:tcW w:w="4960" w:type="dxa"/>
            <w:vMerge w:val="restart"/>
            <w:textDirection w:val="lrTb"/>
            <w:noWrap w:val="false"/>
          </w:tcPr>
          <w:p>
            <w:pPr>
              <w:pStyle w:val="837"/>
              <w:ind w:left="0" w:right="0" w:firstLine="0"/>
              <w:jc w:val="both"/>
              <w:rPr>
                <w:rFonts w:ascii="Times New Roman" w:hAnsi="Times New Roman" w:eastAsia="PT Astra Serif" w:cs="Times New Roman"/>
                <w:sz w:val="26"/>
                <w:szCs w:val="26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1)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 информирование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  <w14:ligatures w14:val="none"/>
              </w:rPr>
            </w:r>
            <w:r/>
          </w:p>
          <w:p>
            <w:pPr>
              <w:pStyle w:val="837"/>
              <w:ind w:left="0" w:right="0" w:firstLine="0"/>
              <w:jc w:val="both"/>
              <w:rPr>
                <w:rFonts w:ascii="Times New Roman" w:hAnsi="Times New Roman" w:eastAsia="PT Astra Serif" w:cs="Times New Roman"/>
                <w:sz w:val="26"/>
                <w:szCs w:val="26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2) обобщение правоприменительной практики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  <w14:ligatures w14:val="none"/>
              </w:rPr>
            </w:r>
            <w:r/>
          </w:p>
          <w:p>
            <w:pPr>
              <w:pStyle w:val="837"/>
              <w:ind w:left="0" w:right="0" w:firstLine="0"/>
              <w:jc w:val="both"/>
              <w:rPr>
                <w:rFonts w:ascii="Times New Roman" w:hAnsi="Times New Roman" w:eastAsia="PT Astra Serif" w:cs="Times New Roman"/>
                <w:sz w:val="26"/>
                <w:szCs w:val="26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3) объявление предостережения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  <w14:ligatures w14:val="none"/>
              </w:rPr>
            </w:r>
            <w:r/>
          </w:p>
          <w:p>
            <w:pPr>
              <w:pStyle w:val="837"/>
              <w:ind w:left="0" w:right="0" w:firstLine="0"/>
              <w:jc w:val="both"/>
              <w:rPr>
                <w:rFonts w:ascii="Times New Roman" w:hAnsi="Times New Roman" w:eastAsia="PT Astra Serif" w:cs="Times New Roman"/>
                <w:sz w:val="26"/>
                <w:szCs w:val="26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4) консультирование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  <w14:ligatures w14:val="none"/>
              </w:rPr>
            </w:r>
            <w:r/>
          </w:p>
          <w:p>
            <w:pPr>
              <w:pStyle w:val="837"/>
              <w:ind w:left="0" w:right="0" w:firstLine="0"/>
              <w:jc w:val="both"/>
              <w:rPr>
                <w:rFonts w:ascii="Times New Roman" w:hAnsi="Times New Roman" w:eastAsia="PT Astra Serif" w:cs="Times New Roman"/>
                <w:sz w:val="26"/>
                <w:szCs w:val="26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5) профилактический визит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  <w14:ligatures w14:val="none"/>
              </w:rPr>
            </w:r>
            <w:r/>
          </w:p>
          <w:p>
            <w:pPr>
              <w:pStyle w:val="837"/>
              <w:ind w:left="0" w:right="0" w:firstLine="0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r>
            <w:r/>
          </w:p>
        </w:tc>
        <w:tc>
          <w:tcPr>
            <w:tcW w:w="4395" w:type="dxa"/>
            <w:vMerge w:val="restart"/>
            <w:textDirection w:val="lrTb"/>
            <w:noWrap w:val="false"/>
          </w:tcPr>
          <w:p>
            <w:pPr>
              <w:pStyle w:val="837"/>
              <w:ind w:left="0" w:right="0" w:firstLine="0"/>
              <w:jc w:val="both"/>
              <w:rPr>
                <w:rFonts w:ascii="Times New Roman" w:hAnsi="Times New Roman" w:eastAsia="PT Astra Serif" w:cs="Times New Roman"/>
                <w:sz w:val="26"/>
                <w:szCs w:val="26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1) информирование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  <w14:ligatures w14:val="none"/>
              </w:rPr>
            </w:r>
            <w:r/>
          </w:p>
          <w:p>
            <w:pPr>
              <w:pStyle w:val="837"/>
              <w:ind w:left="0" w:right="0" w:firstLine="0"/>
              <w:jc w:val="both"/>
              <w:rPr>
                <w:rFonts w:ascii="Times New Roman" w:hAnsi="Times New Roman" w:eastAsia="PT Astra Serif" w:cs="Times New Roman"/>
                <w:sz w:val="26"/>
                <w:szCs w:val="26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2) обобщение правоприменительной практики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  <w14:ligatures w14:val="none"/>
              </w:rPr>
            </w:r>
            <w:r/>
          </w:p>
          <w:p>
            <w:pPr>
              <w:pStyle w:val="837"/>
              <w:ind w:left="0" w:right="0" w:firstLine="0"/>
              <w:jc w:val="both"/>
              <w:rPr>
                <w:rFonts w:ascii="Times New Roman" w:hAnsi="Times New Roman" w:eastAsia="PT Astra Serif" w:cs="Times New Roman"/>
                <w:sz w:val="26"/>
                <w:szCs w:val="26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3) объявление предостережения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  <w14:ligatures w14:val="none"/>
              </w:rPr>
            </w:r>
            <w:r/>
          </w:p>
          <w:p>
            <w:pPr>
              <w:pStyle w:val="837"/>
              <w:ind w:left="0" w:right="0" w:firstLine="0"/>
              <w:jc w:val="both"/>
              <w:rPr>
                <w:rFonts w:ascii="Times New Roman" w:hAnsi="Times New Roman" w:eastAsia="PT Astra Serif" w:cs="Times New Roman"/>
                <w:sz w:val="26"/>
                <w:szCs w:val="26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4) консультирование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  <w14:ligatures w14:val="none"/>
              </w:rPr>
            </w:r>
            <w:r/>
          </w:p>
          <w:p>
            <w:pPr>
              <w:pStyle w:val="837"/>
              <w:ind w:left="0" w:right="0" w:firstLine="0"/>
              <w:jc w:val="both"/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5) профилактический визит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  <w14:ligatures w14:val="none"/>
              </w:rPr>
            </w:r>
            <w:r/>
          </w:p>
          <w:p>
            <w:pPr>
              <w:pStyle w:val="837"/>
              <w:ind w:left="0" w:right="0" w:firstLine="0"/>
              <w:jc w:val="both"/>
              <w:rPr>
                <w:rFonts w:ascii="Times New Roman" w:hAnsi="Times New Roman" w:eastAsia="PT Astra Serif" w:cs="Times New Roman"/>
                <w:b/>
                <w:bCs/>
                <w:sz w:val="26"/>
                <w:szCs w:val="26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PT Astra Serif" w:cs="Times New Roman"/>
                <w:b/>
                <w:bCs/>
                <w:sz w:val="26"/>
                <w:szCs w:val="26"/>
                <w:highlight w:val="none"/>
              </w:rPr>
              <w:t xml:space="preserve">6) самообследование</w:t>
            </w:r>
            <w:r>
              <w:rPr>
                <w:rFonts w:ascii="Times New Roman" w:hAnsi="Times New Roman" w:eastAsia="PT Astra Serif" w:cs="Times New Roman"/>
                <w:b/>
                <w:bCs/>
                <w:sz w:val="26"/>
                <w:szCs w:val="26"/>
                <w14:ligatures w14:val="none"/>
              </w:rPr>
            </w:r>
            <w:r/>
          </w:p>
        </w:tc>
      </w:tr>
    </w:tbl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  <w:highlight w:val="none"/>
        </w:rPr>
      </w:pP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/>
    </w:p>
    <w:p>
      <w:pPr>
        <w:pStyle w:val="837"/>
        <w:ind w:left="0" w:right="0" w:firstLine="0"/>
        <w:jc w:val="center"/>
        <w:rPr>
          <w:rFonts w:ascii="Times New Roman" w:hAnsi="Times New Roman" w:eastAsia="PT Astra Serif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PT Astra Serif" w:cs="Times New Roman"/>
          <w:b/>
          <w:bCs/>
          <w:sz w:val="26"/>
          <w:szCs w:val="26"/>
          <w:highlight w:val="none"/>
        </w:rPr>
        <w:t xml:space="preserve">Индикаторы риска, установленные на региональном уровне</w:t>
      </w:r>
      <w:r>
        <w:rPr>
          <w:rFonts w:ascii="Times New Roman" w:hAnsi="Times New Roman" w:eastAsia="PT Astra Serif" w:cs="Times New Roman"/>
          <w:b/>
          <w:bCs/>
          <w:sz w:val="26"/>
          <w:szCs w:val="26"/>
          <w:highlight w:val="none"/>
        </w:rPr>
      </w:r>
      <w:r/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  <w:highlight w:val="none"/>
        </w:rPr>
      </w:pP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/>
    </w:p>
    <w:tbl>
      <w:tblPr>
        <w:tblStyle w:val="693"/>
        <w:tblW w:w="0" w:type="auto"/>
        <w:tblLayout w:type="fixed"/>
        <w:tblLook w:val="04A0" w:firstRow="1" w:lastRow="0" w:firstColumn="1" w:lastColumn="0" w:noHBand="0" w:noVBand="1"/>
      </w:tblPr>
      <w:tblGrid>
        <w:gridCol w:w="4960"/>
        <w:gridCol w:w="4395"/>
      </w:tblGrid>
      <w:tr>
        <w:trPr/>
        <w:tc>
          <w:tcPr>
            <w:tcW w:w="4960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  <w:t xml:space="preserve">Текущее состояние 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r>
            <w:r/>
          </w:p>
        </w:tc>
        <w:tc>
          <w:tcPr>
            <w:tcW w:w="4395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  <w:t xml:space="preserve">Предлагаемое решение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r>
            <w:r/>
          </w:p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r>
            <w:r/>
          </w:p>
        </w:tc>
      </w:tr>
      <w:tr>
        <w:trPr/>
        <w:tc>
          <w:tcPr>
            <w:tcW w:w="4960" w:type="dxa"/>
            <w:vMerge w:val="restart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ind w:left="0" w:right="0" w:firstLine="0"/>
              <w:jc w:val="both"/>
              <w:spacing w:after="0" w:line="57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Наличие более 20 процентов (по информации из ведомственной информационной системы "Гостехнадзор Эксперт") единиц самоходных машин и других видов техники, не прошедших технический осмотр в соответствии с </w:t>
            </w:r>
            <w:hyperlink r:id="rId10" w:tooltip="https://login.consultant.ru/link/?req=doc&amp;base=LAW&amp;n=481150&amp;date=17.10.2024&amp;dst=5&amp;field=134" w:history="1">
              <w:r>
                <w:rPr>
                  <w:rStyle w:val="819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Правилами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проведения технического осмотра самоходных машин и других видов техники, утвержденными Постановлением Правительства Российской Федерации от 13 ноября 2013 года N 1013 "О техническом осмотре самоходных машин и других видов техники", от общего количества ед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иниц самоходных машин и других видов техники, представленных контролируемым лицом на технический осмотр в текущем календарном году</w:t>
            </w:r>
            <w:r/>
          </w:p>
          <w:p>
            <w:pPr>
              <w:pStyle w:val="837"/>
              <w:ind w:left="0" w:right="0" w:firstLine="0"/>
              <w:jc w:val="both"/>
              <w:rPr>
                <w:rFonts w:ascii="Times New Roman" w:hAnsi="Times New Roman" w:eastAsia="PT Astra Serif" w:cs="Times New Roman"/>
                <w:sz w:val="26"/>
                <w:szCs w:val="26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PT Astra Serif" w:cs="Times New Roman"/>
                <w:sz w:val="26"/>
                <w:szCs w:val="26"/>
                <w14:ligatures w14:val="none"/>
              </w:rPr>
            </w:r>
            <w:r/>
          </w:p>
          <w:p>
            <w:pPr>
              <w:pStyle w:val="837"/>
              <w:ind w:left="0" w:right="0" w:firstLine="0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r>
            <w:r/>
          </w:p>
        </w:tc>
        <w:tc>
          <w:tcPr>
            <w:tcW w:w="4395" w:type="dxa"/>
            <w:vMerge w:val="restart"/>
            <w:textDirection w:val="lrTb"/>
            <w:noWrap w:val="false"/>
          </w:tcPr>
          <w:p>
            <w:pPr>
              <w:pStyle w:val="838"/>
              <w:numPr>
                <w:ilvl w:val="0"/>
                <w:numId w:val="3"/>
              </w:numPr>
              <w:ind w:left="0" w:right="0" w:firstLine="142"/>
              <w:jc w:val="both"/>
              <w:spacing w:after="0" w:line="56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Наличие более 20 процентов (по информации из ведомственной информационной системы «Гостехнадзор Эксперт») единиц самоходных машин и других видов техники, не прошедших технический осмотр в соответствии с </w:t>
            </w:r>
            <w:hyperlink r:id="rId11" w:tooltip="https://login.consultant.ru/link/?req=doc&amp;base=LAW&amp;n=481150&amp;date=17.10.2024&amp;dst=5&amp;field=134" w:history="1"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zCs w:val="24"/>
                </w:rPr>
                <w:t xml:space="preserve">Правилами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проведения технического осмотра самоходных машин и других видов техники, утвержденными постановлением Правительства Российской Федерации от 13 ноября 2013 года № 1013 «О техническом осмотре самоходных машин и других видов техники», от общего количества ед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иниц самоходных машин и других видов техники, представленных контролируемым лицом на технический осмотр в текущем календарном году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/>
          </w:p>
          <w:p>
            <w:pPr>
              <w:pStyle w:val="838"/>
              <w:numPr>
                <w:ilvl w:val="0"/>
                <w:numId w:val="1"/>
              </w:numPr>
              <w:ind w:left="0" w:right="0" w:firstLine="142"/>
              <w:jc w:val="both"/>
              <w:spacing w:after="0" w:line="56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Выявление на основании открытых данных (запрашиваемой информа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ции) об одном и более фактах совершения дорожно-транспортных происшествий с участием самоходных машин при установлении вины владельца самоходной машины с причинением вреда жизни и (или) тяжкого вреда здоровью граждан либо существенного материального ущерба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/>
          </w:p>
          <w:p>
            <w:pPr>
              <w:pStyle w:val="838"/>
              <w:numPr>
                <w:ilvl w:val="0"/>
                <w:numId w:val="1"/>
              </w:numPr>
              <w:ind w:left="0" w:right="0" w:firstLine="0"/>
              <w:jc w:val="both"/>
              <w:spacing w:after="0" w:line="56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Наличие в средствах массовой информации, информационно-телекоммуникационной сети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«Интернет», обращениях (заявлениях) граждан, организаций, органов государственной власти и органов местного самоуправления, сведений о наличии у контролируемого лица не зарегистрированных в установленном  порядке самоходной машины или других видов техники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/>
          </w:p>
          <w:p>
            <w:pPr>
              <w:pStyle w:val="838"/>
              <w:numPr>
                <w:ilvl w:val="0"/>
                <w:numId w:val="1"/>
              </w:numPr>
              <w:ind w:left="0" w:right="0" w:firstLine="0"/>
              <w:jc w:val="both"/>
              <w:spacing w:after="0" w:line="56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Наличие в средствах массовой информации, информационно-телекоммуникационной сети «Интернет», обращениях (заявлениях) граждан, организаций, органов государственной власти и органов местного самоуправления, сведений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 эксплуатации самоходной ма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шины без полиса, подтверждающего исполнение обязанности по страхованию гражданской ответственности, предусмотренной Федеральным законом от 25 апреля 2002 года № 40-ФЗ «Об обязательном страховании гражданской ответственности владельцев транспортных средств»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/>
          </w:p>
          <w:p>
            <w:pPr>
              <w:pStyle w:val="838"/>
              <w:numPr>
                <w:ilvl w:val="0"/>
                <w:numId w:val="1"/>
              </w:numPr>
              <w:ind w:left="0" w:right="0" w:firstLine="0"/>
              <w:jc w:val="both"/>
              <w:spacing w:after="0" w:line="56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Наличие в средствах массовой информации, информационно-телекоммуникационной сети «Интернет», обращениях (заявлениях) граждан, организаций, органов государственной власти и органов местного самоуправления, сведений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об управлении самоходной машиной водителем, не имеющим при себе действительного удостоверения тракториста-машиниста (тракториста) российского образца соответствующей категории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/>
          </w:p>
          <w:p>
            <w:pPr>
              <w:pStyle w:val="838"/>
              <w:numPr>
                <w:ilvl w:val="0"/>
                <w:numId w:val="1"/>
              </w:numPr>
              <w:ind w:left="0" w:right="0" w:firstLine="0"/>
              <w:jc w:val="both"/>
              <w:spacing w:after="0" w:line="56" w:lineRule="atLeast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Наличие в средствах массовой информации, информационно-телекоммуникационной сети «Интернет», обращениях (заявлениях) граждан, организаций, органов государственной власти и органов местного самоуправления, сведений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об эксплуатации самоходной машины без свидетельства о техническом осмотре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14:ligatures w14:val="none"/>
              </w:rPr>
            </w:r>
            <w:r/>
          </w:p>
          <w:p>
            <w:r/>
            <w:r/>
          </w:p>
        </w:tc>
      </w:tr>
    </w:tbl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  <w:highlight w:val="none"/>
        </w:rPr>
      </w:pP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/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  <w:highlight w:val="none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  <w:t xml:space="preserve">4.3. Обоснование выбора предлагаемого способа решения проблемы: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/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  <w:t xml:space="preserve">способ продиктован действующим законодательством Российской Федерации, а именно требованиями Федерального закона от 31 июля 2020 года </w:t>
        <w:br/>
        <w:t xml:space="preserve">№ 248-ФЗ «О государственном контроле (надзоре) и муниципальном контроле</w:t>
        <w:br/>
        <w:t xml:space="preserve">в Российской Федерации».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Предпочтительным вариантом решения проблемы инспекция гостехнадзора считает утверждение проекта постановления нормативного правового акта.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  <w:highlight w:val="none"/>
          <w14:ligatures w14:val="none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  <w:t xml:space="preserve">Указанный вариант позволит сформировать эффективную систему регионального государственного контроля (надзора) на этапе проведения профилактических мероприятий, расширит возможности контролируемых лиц </w:t>
        <w:br/>
        <w:t xml:space="preserve">по принятию ими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декларации соблюдения обязательных требований</w:t>
      </w:r>
      <w:r>
        <w:rPr>
          <w:rFonts w:ascii="Times New Roman" w:hAnsi="Times New Roman" w:eastAsia="PT Astra Serif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а также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позволит совершенствовать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систему оценки и управления рисками причинения вреда (ущерба) охраняемым законом ценнос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тям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,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расширив перечень 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индикаторов риска нарушения обязательных требований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.</w:t>
      </w:r>
      <w:r>
        <w:rPr>
          <w:rFonts w:ascii="Times New Roman" w:hAnsi="Times New Roman" w:eastAsia="PT Astra Serif" w:cs="Times New Roman"/>
          <w:sz w:val="26"/>
          <w:szCs w:val="26"/>
          <w14:ligatures w14:val="none"/>
        </w:rPr>
      </w:r>
      <w:r/>
    </w:p>
    <w:p>
      <w:pPr>
        <w:pStyle w:val="837"/>
        <w:ind w:firstLine="708"/>
        <w:jc w:val="both"/>
        <w:rPr>
          <w:b w:val="0"/>
          <w:bCs w:val="0"/>
          <w:color w:val="000000" w:themeColor="text1"/>
        </w:rPr>
      </w:pP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Самообследование будет способствовать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 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поддержанию техники в надлежащем техническом  состоянии, позволит снизить  риск поломок и аварийных ситуаций, повышая тем самым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 ответственность собственников за техническое состояние своих машин.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b w:val="0"/>
          <w:bCs w:val="0"/>
          <w:color w:val="000000" w:themeColor="text1"/>
        </w:rPr>
      </w:r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b w:val="0"/>
          <w:bCs w:val="0"/>
          <w:color w:val="000000" w:themeColor="text1"/>
          <w:highlight w:val="none"/>
        </w:rPr>
      </w:pP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none"/>
        </w:rPr>
        <w:t xml:space="preserve">Кроме того, самообследование с дальнейшим принятием декларации позволит снизить административную нагрузку на контролируемое лицо, уменьшая количество выездных проверок, инициируемых инспекцией гостехнадзора.</w:t>
      </w:r>
      <w:r>
        <w:rPr>
          <w:rFonts w:ascii="Times New Roman" w:hAnsi="Times New Roman" w:eastAsia="PT Astra Serif" w:cs="Times New Roman"/>
          <w:b w:val="0"/>
          <w:bCs w:val="0"/>
          <w:color w:val="000000" w:themeColor="text1"/>
          <w:sz w:val="26"/>
          <w:szCs w:val="26"/>
          <w:highlight w:val="none"/>
        </w:rPr>
      </w:r>
      <w:r>
        <w:rPr>
          <w:b w:val="0"/>
          <w:bCs w:val="0"/>
          <w:color w:val="000000" w:themeColor="text1"/>
        </w:rPr>
      </w:r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  <w14:ligatures w14:val="none"/>
        </w:rPr>
      </w:pPr>
      <w:r>
        <w:rPr>
          <w:rFonts w:ascii="Times New Roman" w:hAnsi="Times New Roman" w:eastAsia="PT Astra Serif" w:cs="Times New Roman"/>
          <w:sz w:val="26"/>
          <w:szCs w:val="26"/>
          <w:highlight w:val="none"/>
          <w14:ligatures w14:val="none"/>
        </w:rPr>
      </w:r>
      <w:r>
        <w:rPr>
          <w:rFonts w:ascii="Times New Roman" w:hAnsi="Times New Roman" w:eastAsia="PT Astra Serif" w:cs="Times New Roman"/>
          <w:sz w:val="26"/>
          <w:szCs w:val="26"/>
          <w:highlight w:val="none"/>
          <w14:ligatures w14:val="none"/>
        </w:rPr>
      </w:r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  <w:highlight w:val="none"/>
        </w:rPr>
      </w:pPr>
      <w:r>
        <w:rPr>
          <w:rFonts w:ascii="Times New Roman" w:hAnsi="Times New Roman" w:eastAsia="PT Astra Serif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PT Astra Serif" w:cs="Times New Roman"/>
          <w:sz w:val="26"/>
          <w:szCs w:val="26"/>
        </w:rPr>
        <w:t xml:space="preserve"> </w:t>
      </w:r>
      <w:r>
        <w:rPr>
          <w:rFonts w:ascii="Times New Roman" w:hAnsi="Times New Roman" w:eastAsia="PT Astra Serif" w:cs="Times New Roman"/>
          <w:bCs/>
          <w:sz w:val="26"/>
          <w:szCs w:val="26"/>
        </w:rPr>
        <w:t xml:space="preserve">Основные группы субъектов экономической деятельности,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/>
    </w:p>
    <w:p>
      <w:pPr>
        <w:pStyle w:val="837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74"/>
        <w:gridCol w:w="2693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Группа участников отношений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Оценка количества участников отношений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</w:tr>
      <w:tr>
        <w:trPr>
          <w:trHeight w:val="11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4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Юридические лица, их руководители и иные должностные лица, индивидуальные предприниматели, их 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уполномоченные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представители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являющиеся собственниками, пользователями самоходных машин и других видов техники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Количество объектов на территории области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  <w:highlight w:val="white"/>
              </w:rPr>
              <w:t xml:space="preserve">20873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  <w:highlight w:val="white"/>
              </w:rPr>
              <w:t xml:space="preserve">ед.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  <w:highlight w:val="white"/>
              </w:rPr>
            </w:r>
            <w:r/>
          </w:p>
        </w:tc>
      </w:tr>
    </w:tbl>
    <w:p>
      <w:pPr>
        <w:pStyle w:val="837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pStyle w:val="837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8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3402"/>
        <w:gridCol w:w="255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расходов/доходов,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издержек/выгод,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</w:tr>
      <w:tr>
        <w:trPr>
          <w:trHeight w:val="1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56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Юридические лица, их руководители и иные должностные лица, индивидуальные предприниматели, их уполномоченные представители являющиеся собственниками, пользователями самоходных машин и других видов техники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  <w:p>
            <w:pPr>
              <w:pStyle w:val="837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</w:rPr>
              <w:t xml:space="preserve">Преимущества: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  <w:p>
            <w:pPr>
              <w:pStyle w:val="837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</w:rPr>
              <w:t xml:space="preserve">- возможность принять декларацию соблюдения обязательных требований 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  <w:p>
            <w:pPr>
              <w:pStyle w:val="837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  <w:p>
            <w:pPr>
              <w:pStyle w:val="837"/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</w:rPr>
              <w:t xml:space="preserve">Обязанности: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r>
            <w:r/>
          </w:p>
          <w:p>
            <w:pPr>
              <w:pStyle w:val="837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</w:rPr>
              <w:t xml:space="preserve">- предоставление в инспекцию гостехнадзора необходимых документов 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37"/>
              <w:jc w:val="left"/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</w:rPr>
              <w:t xml:space="preserve">Общая стоимость требования по предоставлению документов, необходимых для 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  <w:highlight w:val="none"/>
              </w:rPr>
            </w:r>
            <w:r/>
          </w:p>
          <w:p>
            <w:pPr>
              <w:pStyle w:val="837"/>
              <w:jc w:val="left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shd w:val="clear" w:color="auto" w:fill="ffffff"/>
              </w:rPr>
              <w:t xml:space="preserve">одготовки и подачи в инспекцию гостехнадзора области </w:t>
            </w: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shd w:val="clear" w:color="auto" w:fill="ffffff"/>
              </w:rPr>
              <w:t xml:space="preserve">контролируемым лицом </w:t>
            </w:r>
            <w:r>
              <w:rPr>
                <w:rFonts w:ascii="Times New Roman" w:hAnsi="Times New Roman"/>
                <w:i w:val="0"/>
                <w:iCs w:val="0"/>
                <w:sz w:val="26"/>
                <w:szCs w:val="26"/>
                <w:shd w:val="clear" w:color="auto" w:fill="ffffff"/>
              </w:rPr>
              <w:t xml:space="preserve">декларации соблюдения обязательных требований </w:t>
              <w:br/>
              <w:t xml:space="preserve">с приложением заполненного перечня вопросов 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  <w:p>
            <w:pPr>
              <w:pStyle w:val="837"/>
              <w:jc w:val="left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  <w:p>
            <w:pPr>
              <w:pStyle w:val="837"/>
              <w:jc w:val="left"/>
              <w:rPr>
                <w:rFonts w:ascii="Times New Roman" w:hAnsi="Times New Roman" w:eastAsia="PT Astra Serif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  <w:highlight w:val="yellow"/>
              </w:rPr>
            </w: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highlight w:val="white"/>
                <w:lang w:eastAsia="ru-RU"/>
              </w:rPr>
              <w:t xml:space="preserve">30,003 млн руб.</w:t>
            </w:r>
            <w:r>
              <w:rPr>
                <w:rFonts w:ascii="Times New Roman" w:hAnsi="Times New Roman" w:eastAsia="Times New Roman"/>
                <w:b/>
                <w:color w:val="00000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  <w:highlight w:val="yellow"/>
              </w:rPr>
            </w:r>
            <w:r/>
          </w:p>
          <w:p>
            <w:pPr>
              <w:pStyle w:val="837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</w:tr>
    </w:tbl>
    <w:p>
      <w:pPr>
        <w:pStyle w:val="837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</w:t>
      </w: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4253"/>
        <w:gridCol w:w="2551"/>
      </w:tblGrid>
      <w:tr>
        <w:trPr>
          <w:trHeight w:val="12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3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Наименование органа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br/>
              <w:t xml:space="preserve">или прав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Оценка изменения трудозатрат и (или) потребностей в иных ресурсах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</w:tr>
      <w:tr>
        <w:trPr>
          <w:trHeight w:val="8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63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</w:rPr>
              <w:t xml:space="preserve">Инспекция гостехнадзора Белгородской области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3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Региональный государственный надзор будет осуществляться инспекцией в рамках установленных полномочий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Дополнительные трудозатраты не потребуются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</w:tr>
    </w:tbl>
    <w:p>
      <w:pPr>
        <w:pStyle w:val="837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7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402"/>
        <w:gridCol w:w="3260"/>
      </w:tblGrid>
      <w:tr>
        <w:trPr>
          <w:trHeight w:val="14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или прав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Количественная оценка расходов и возможных поступлений,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тыс. руб.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</w:tr>
      <w:tr>
        <w:trPr>
          <w:trHeight w:val="1362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</w:rPr>
              <w:t xml:space="preserve">Инспекция гостехнадзора Белгородской области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Расходов (дополнительных поступлений) консолидированного бюджета Белгородской области не предусмотрено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-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</w:tr>
    </w:tbl>
    <w:p>
      <w:pPr>
        <w:pStyle w:val="837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  <w14:ligatures w14:val="none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  <w:t xml:space="preserve">4.8. Информация о наличии или отсутствии в проекте нормативного правового акта обязательных требований: обязательные требования проектом нормативного правового акта не устанавливаются.</w:t>
      </w:r>
      <w:r>
        <w:rPr>
          <w:rFonts w:ascii="Times New Roman" w:hAnsi="Times New Roman" w:eastAsia="PT Astra Serif" w:cs="Times New Roman"/>
          <w:sz w:val="26"/>
          <w:szCs w:val="26"/>
          <w14:ligatures w14:val="none"/>
        </w:rPr>
      </w:r>
      <w:r/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также, описание методов контроля эффективности избранного способа достижения целей регулирования: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9"/>
        <w:gridCol w:w="1985"/>
        <w:gridCol w:w="3543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9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Риски решения проблемы предложенным способом и риски негативных последствий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Оценка вероятности наступления рисков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  <w:t xml:space="preserve">Методы контроля эффективности избранного способа достижения целей регулирования</w:t>
            </w:r>
            <w:r>
              <w:rPr>
                <w:rFonts w:ascii="Times New Roman" w:hAnsi="Times New Roman" w:eastAsia="PT Astra Serif" w:cs="Times New Roman"/>
                <w:b/>
                <w:sz w:val="26"/>
                <w:szCs w:val="26"/>
              </w:rPr>
            </w:r>
            <w:r/>
          </w:p>
        </w:tc>
      </w:tr>
      <w:tr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39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Нежелание контролируемых лиц принимать декларацию соблюдения обязательных требований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iCs/>
                <w:sz w:val="26"/>
                <w:szCs w:val="26"/>
              </w:rPr>
              <w:t xml:space="preserve">низкая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eastAsia="PT Astra Serif" w:cs="Times New Roman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  <w:t xml:space="preserve">Информирование Консультирование Осуществление регионального государственного контроля (надзора) инспекцией гостехнадзора </w:t>
            </w:r>
            <w:r>
              <w:rPr>
                <w:rFonts w:ascii="Times New Roman" w:hAnsi="Times New Roman" w:eastAsia="PT Astra Serif" w:cs="Times New Roman"/>
                <w:sz w:val="26"/>
                <w:szCs w:val="26"/>
              </w:rPr>
            </w:r>
            <w:r/>
          </w:p>
        </w:tc>
      </w:tr>
    </w:tbl>
    <w:p>
      <w:pPr>
        <w:pStyle w:val="837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</w:t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7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tbl>
      <w:tblPr>
        <w:tblW w:w="96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2"/>
        <w:gridCol w:w="1415"/>
        <w:gridCol w:w="2129"/>
        <w:gridCol w:w="1276"/>
        <w:gridCol w:w="130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>
              <w:rPr>
                <w:rFonts w:ascii="Times New Roman" w:hAnsi="Times New Roman" w:eastAsia="PT Astra Serif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Сроки реализации</w:t>
            </w:r>
            <w:r>
              <w:rPr>
                <w:rFonts w:ascii="Times New Roman" w:hAnsi="Times New Roman" w:eastAsia="PT Astra Serif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>
              <w:rPr>
                <w:rFonts w:ascii="Times New Roman" w:hAnsi="Times New Roman" w:eastAsia="PT Astra Serif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Объем финанси</w:t>
            </w: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</w:r>
            <w:r/>
          </w:p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рования</w:t>
            </w:r>
            <w:r>
              <w:rPr>
                <w:rFonts w:ascii="Times New Roman" w:hAnsi="Times New Roman" w:eastAsia="PT Astra Serif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sz w:val="24"/>
                <w:szCs w:val="24"/>
              </w:rPr>
            </w:pP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Источники финанси</w:t>
            </w: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eastAsia="PT Astra Serif" w:cs="Times New Roman"/>
                <w:b/>
                <w:sz w:val="24"/>
                <w:szCs w:val="24"/>
              </w:rPr>
              <w:t xml:space="preserve">рования</w:t>
            </w:r>
            <w:r>
              <w:rPr>
                <w:rFonts w:ascii="Times New Roman" w:hAnsi="Times New Roman" w:eastAsia="PT Astra Serif" w:cs="Times New Roman"/>
                <w:sz w:val="24"/>
                <w:szCs w:val="24"/>
              </w:rPr>
            </w:r>
            <w:r/>
          </w:p>
        </w:tc>
      </w:tr>
      <w:tr>
        <w:trPr>
          <w:trHeight w:val="15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  <w:highlight w:val="none"/>
              </w:rPr>
              <w:t xml:space="preserve">Доведение до контролируемых лиц информации о принимаемых новых видах профилактических мероприятий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  <w:highlight w:val="white"/>
              </w:rPr>
              <w:t xml:space="preserve">февраль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  <w:highlight w:val="white"/>
              </w:rPr>
            </w:r>
            <w:r/>
          </w:p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  <w:highlight w:val="white"/>
              </w:rPr>
              <w:t xml:space="preserve">2026 года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</w:rPr>
              <w:t xml:space="preserve">Осведомленность контролируемых лиц о порядке осуществления вводимых мероприятий 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pStyle w:val="837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</w:rPr>
              <w:t xml:space="preserve">Консультирование (разъяснение по вопросам, связанным с принятием декларации соблюдения обязательных требований)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</w:rPr>
              <w:t xml:space="preserve">по мере необходимости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9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</w:rPr>
              <w:t xml:space="preserve">Профилактика, минимизация наступления рисков причинения вреда (ущерба)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5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PT Astra Serif" w:cs="Times New Roman"/>
                <w:color w:val="000000" w:themeColor="text1"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PT Astra Serif" w:cs="Times New Roman"/>
                <w:color w:val="000000"/>
                <w:sz w:val="26"/>
                <w:szCs w:val="26"/>
              </w:rPr>
            </w:r>
            <w:r/>
          </w:p>
        </w:tc>
      </w:tr>
    </w:tbl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bCs/>
          <w:sz w:val="26"/>
          <w:szCs w:val="26"/>
          <w:highlight w:val="none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  <w:highlight w:val="none"/>
        </w:rPr>
      </w:pPr>
      <w:r>
        <w:rPr>
          <w:rFonts w:ascii="Times New Roman" w:hAnsi="Times New Roman" w:eastAsia="PT Astra Serif" w:cs="Times New Roman"/>
          <w:bCs/>
          <w:sz w:val="26"/>
          <w:szCs w:val="26"/>
        </w:rPr>
        <w:t xml:space="preserve">7. Ожидаемые измеримые результаты правового регулирования:</w:t>
      </w:r>
      <w:r>
        <w:rPr>
          <w:rFonts w:ascii="Times New Roman" w:hAnsi="Times New Roman" w:eastAsia="PT Astra Serif" w:cs="Times New Roman"/>
          <w:sz w:val="26"/>
          <w:szCs w:val="26"/>
          <w:highlight w:val="none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50"/>
        <w:gridCol w:w="2555"/>
        <w:gridCol w:w="2530"/>
        <w:gridCol w:w="2210"/>
      </w:tblGrid>
      <w:tr>
        <w:trPr>
          <w:trHeight w:val="184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 предложенном регулировании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ключевых показателей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достижения целей правового регулирования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(не более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5 лет)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9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Снижение количества  выявленных нарушений обязательных требований 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в области технического состояния и эксплуатации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самоходных машин и других видов техники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Снижение количества выявленных нарушений обязательных требований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в области технического состояния и эксплуатации самоходных машин и других видов техники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white"/>
                <w:lang w:eastAsia="ru-RU"/>
              </w:rPr>
              <w:t xml:space="preserve">не менее чем на 50 %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white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Анализ количества выявленных нарушений обязательных требований за истекший период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(1 год)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  <w:t xml:space="preserve">ежегодно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eastAsia="ru-RU"/>
              </w:rPr>
            </w:r>
            <w:r/>
          </w:p>
        </w:tc>
      </w:tr>
    </w:tbl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7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7"/>
        <w:ind w:firstLine="708"/>
        <w:rPr>
          <w:rFonts w:ascii="Times New Roman" w:hAnsi="Times New Roman" w:eastAsia="PT Astra Serif" w:cs="Times New Roman"/>
          <w:sz w:val="26"/>
          <w:szCs w:val="26"/>
          <w:highlight w:val="white"/>
        </w:rPr>
      </w:pPr>
      <w:r>
        <w:rPr>
          <w:rFonts w:ascii="Times New Roman" w:hAnsi="Times New Roman" w:eastAsia="PT Astra Serif" w:cs="Times New Roman"/>
          <w:sz w:val="26"/>
          <w:szCs w:val="26"/>
        </w:rPr>
        <w:t xml:space="preserve">8. Предполагаемая дата вступления в силу проекта нормативного правового акта: 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февраль 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  <w:lang w:val="en-US"/>
        </w:rPr>
        <w:t xml:space="preserve">2026 года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  <w:t xml:space="preserve">.</w:t>
      </w:r>
      <w:r>
        <w:rPr>
          <w:rFonts w:ascii="Times New Roman" w:hAnsi="Times New Roman" w:eastAsia="PT Astra Serif" w:cs="Times New Roman"/>
          <w:sz w:val="26"/>
          <w:szCs w:val="26"/>
          <w:highlight w:val="white"/>
        </w:rPr>
      </w:r>
      <w:r/>
    </w:p>
    <w:p>
      <w:pPr>
        <w:pStyle w:val="837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7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7"/>
        <w:rPr>
          <w:rFonts w:ascii="Times New Roman" w:hAnsi="Times New Roman" w:eastAsia="PT Astra Serif" w:cs="Times New Roman"/>
          <w:color w:val="000000"/>
          <w:sz w:val="26"/>
          <w:szCs w:val="26"/>
        </w:rPr>
      </w:pPr>
      <w:r>
        <w:rPr>
          <w:rFonts w:ascii="Times New Roman" w:hAnsi="Times New Roman" w:eastAsia="PT Astra Serif" w:cs="Times New Roman"/>
          <w:color w:val="000000"/>
          <w:sz w:val="26"/>
          <w:szCs w:val="26"/>
        </w:rPr>
      </w:r>
      <w:r>
        <w:rPr>
          <w:rFonts w:ascii="Times New Roman" w:hAnsi="Times New Roman" w:eastAsia="PT Astra Serif" w:cs="Times New Roman"/>
          <w:color w:val="000000"/>
          <w:sz w:val="26"/>
          <w:szCs w:val="26"/>
        </w:rPr>
      </w:r>
      <w:r/>
    </w:p>
    <w:p>
      <w:pPr>
        <w:pStyle w:val="837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p>
      <w:pPr>
        <w:pStyle w:val="837"/>
        <w:ind w:firstLine="708"/>
        <w:jc w:val="both"/>
        <w:rPr>
          <w:rFonts w:ascii="Times New Roman" w:hAnsi="Times New Roman" w:eastAsia="PT Astra Serif" w:cs="Times New Roman"/>
          <w:sz w:val="26"/>
          <w:szCs w:val="26"/>
        </w:rPr>
      </w:pPr>
      <w:r>
        <w:rPr>
          <w:rFonts w:ascii="Times New Roman" w:hAnsi="Times New Roman" w:eastAsia="PT Astra Serif" w:cs="Times New Roman"/>
          <w:sz w:val="26"/>
          <w:szCs w:val="26"/>
        </w:rPr>
      </w:r>
      <w:r>
        <w:rPr>
          <w:rFonts w:ascii="Times New Roman" w:hAnsi="Times New Roman" w:eastAsia="PT Astra Serif" w:cs="Times New Roman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567" w:right="850" w:bottom="70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0">
    <w:name w:val="Heading 1 Char"/>
    <w:basedOn w:val="667"/>
    <w:link w:val="658"/>
    <w:uiPriority w:val="9"/>
    <w:rPr>
      <w:rFonts w:ascii="Arial" w:hAnsi="Arial" w:eastAsia="Arial" w:cs="Arial"/>
      <w:sz w:val="40"/>
      <w:szCs w:val="40"/>
    </w:rPr>
  </w:style>
  <w:style w:type="character" w:styleId="641">
    <w:name w:val="Heading 2 Char"/>
    <w:basedOn w:val="667"/>
    <w:link w:val="659"/>
    <w:uiPriority w:val="9"/>
    <w:rPr>
      <w:rFonts w:ascii="Arial" w:hAnsi="Arial" w:eastAsia="Arial" w:cs="Arial"/>
      <w:sz w:val="34"/>
    </w:rPr>
  </w:style>
  <w:style w:type="character" w:styleId="642">
    <w:name w:val="Heading 3 Char"/>
    <w:basedOn w:val="667"/>
    <w:link w:val="660"/>
    <w:uiPriority w:val="9"/>
    <w:rPr>
      <w:rFonts w:ascii="Arial" w:hAnsi="Arial" w:eastAsia="Arial" w:cs="Arial"/>
      <w:sz w:val="30"/>
      <w:szCs w:val="30"/>
    </w:rPr>
  </w:style>
  <w:style w:type="character" w:styleId="643">
    <w:name w:val="Heading 4 Char"/>
    <w:basedOn w:val="667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644">
    <w:name w:val="Heading 5 Char"/>
    <w:basedOn w:val="667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45">
    <w:name w:val="Heading 6 Char"/>
    <w:basedOn w:val="667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46">
    <w:name w:val="Heading 7 Char"/>
    <w:basedOn w:val="667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8 Char"/>
    <w:basedOn w:val="66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48">
    <w:name w:val="Heading 9 Char"/>
    <w:basedOn w:val="667"/>
    <w:link w:val="666"/>
    <w:uiPriority w:val="9"/>
    <w:rPr>
      <w:rFonts w:ascii="Arial" w:hAnsi="Arial" w:eastAsia="Arial" w:cs="Arial"/>
      <w:i/>
      <w:iCs/>
      <w:sz w:val="21"/>
      <w:szCs w:val="21"/>
    </w:rPr>
  </w:style>
  <w:style w:type="character" w:styleId="649">
    <w:name w:val="Title Char"/>
    <w:basedOn w:val="667"/>
    <w:link w:val="679"/>
    <w:uiPriority w:val="10"/>
    <w:rPr>
      <w:sz w:val="48"/>
      <w:szCs w:val="48"/>
    </w:rPr>
  </w:style>
  <w:style w:type="character" w:styleId="650">
    <w:name w:val="Subtitle Char"/>
    <w:basedOn w:val="667"/>
    <w:link w:val="681"/>
    <w:uiPriority w:val="11"/>
    <w:rPr>
      <w:sz w:val="24"/>
      <w:szCs w:val="24"/>
    </w:rPr>
  </w:style>
  <w:style w:type="character" w:styleId="651">
    <w:name w:val="Quote Char"/>
    <w:link w:val="683"/>
    <w:uiPriority w:val="29"/>
    <w:rPr>
      <w:i/>
    </w:rPr>
  </w:style>
  <w:style w:type="character" w:styleId="652">
    <w:name w:val="Intense Quote Char"/>
    <w:link w:val="685"/>
    <w:uiPriority w:val="30"/>
    <w:rPr>
      <w:i/>
    </w:rPr>
  </w:style>
  <w:style w:type="character" w:styleId="653">
    <w:name w:val="Header Char"/>
    <w:basedOn w:val="667"/>
    <w:link w:val="687"/>
    <w:uiPriority w:val="99"/>
  </w:style>
  <w:style w:type="character" w:styleId="654">
    <w:name w:val="Caption Char"/>
    <w:basedOn w:val="691"/>
    <w:link w:val="689"/>
    <w:uiPriority w:val="99"/>
  </w:style>
  <w:style w:type="character" w:styleId="655">
    <w:name w:val="Footnote Text Char"/>
    <w:link w:val="820"/>
    <w:uiPriority w:val="99"/>
    <w:rPr>
      <w:sz w:val="18"/>
    </w:rPr>
  </w:style>
  <w:style w:type="character" w:styleId="656">
    <w:name w:val="Endnote Text Char"/>
    <w:link w:val="823"/>
    <w:uiPriority w:val="99"/>
    <w:rPr>
      <w:sz w:val="20"/>
    </w:rPr>
  </w:style>
  <w:style w:type="paragraph" w:styleId="657" w:default="1">
    <w:name w:val="Normal"/>
    <w:qFormat/>
  </w:style>
  <w:style w:type="paragraph" w:styleId="658">
    <w:name w:val="Heading 1"/>
    <w:basedOn w:val="657"/>
    <w:next w:val="657"/>
    <w:link w:val="67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9">
    <w:name w:val="Heading 2"/>
    <w:basedOn w:val="657"/>
    <w:next w:val="657"/>
    <w:link w:val="67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0">
    <w:name w:val="Heading 3"/>
    <w:basedOn w:val="657"/>
    <w:next w:val="657"/>
    <w:link w:val="67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1">
    <w:name w:val="Heading 4"/>
    <w:basedOn w:val="657"/>
    <w:next w:val="657"/>
    <w:link w:val="67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657"/>
    <w:next w:val="657"/>
    <w:link w:val="67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657"/>
    <w:next w:val="657"/>
    <w:link w:val="67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4">
    <w:name w:val="Heading 7"/>
    <w:basedOn w:val="657"/>
    <w:next w:val="657"/>
    <w:link w:val="67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5">
    <w:name w:val="Heading 8"/>
    <w:basedOn w:val="657"/>
    <w:next w:val="657"/>
    <w:link w:val="67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6">
    <w:name w:val="Heading 9"/>
    <w:basedOn w:val="657"/>
    <w:next w:val="657"/>
    <w:link w:val="67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 w:default="1">
    <w:name w:val="Default Paragraph Font"/>
    <w:uiPriority w:val="1"/>
    <w:semiHidden/>
    <w:unhideWhenUsed/>
  </w:style>
  <w:style w:type="table" w:styleId="6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9" w:default="1">
    <w:name w:val="No List"/>
    <w:uiPriority w:val="99"/>
    <w:semiHidden/>
    <w:unhideWhenUsed/>
  </w:style>
  <w:style w:type="character" w:styleId="670" w:customStyle="1">
    <w:name w:val="Заголовок 1 Знак"/>
    <w:link w:val="658"/>
    <w:uiPriority w:val="9"/>
    <w:rPr>
      <w:rFonts w:ascii="Arial" w:hAnsi="Arial" w:eastAsia="Arial" w:cs="Arial"/>
      <w:sz w:val="40"/>
      <w:szCs w:val="40"/>
    </w:rPr>
  </w:style>
  <w:style w:type="character" w:styleId="671" w:customStyle="1">
    <w:name w:val="Заголовок 2 Знак"/>
    <w:link w:val="659"/>
    <w:uiPriority w:val="9"/>
    <w:rPr>
      <w:rFonts w:ascii="Arial" w:hAnsi="Arial" w:eastAsia="Arial" w:cs="Arial"/>
      <w:sz w:val="34"/>
    </w:rPr>
  </w:style>
  <w:style w:type="character" w:styleId="672" w:customStyle="1">
    <w:name w:val="Заголовок 3 Знак"/>
    <w:link w:val="660"/>
    <w:uiPriority w:val="9"/>
    <w:rPr>
      <w:rFonts w:ascii="Arial" w:hAnsi="Arial" w:eastAsia="Arial" w:cs="Arial"/>
      <w:sz w:val="30"/>
      <w:szCs w:val="30"/>
    </w:rPr>
  </w:style>
  <w:style w:type="character" w:styleId="673" w:customStyle="1">
    <w:name w:val="Заголовок 4 Знак"/>
    <w:link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674" w:customStyle="1">
    <w:name w:val="Заголовок 5 Знак"/>
    <w:link w:val="662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Заголовок 6 Знак"/>
    <w:link w:val="663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Заголовок 7 Знак"/>
    <w:link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Заголовок 8 Знак"/>
    <w:link w:val="665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Заголовок 9 Знак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Title"/>
    <w:basedOn w:val="657"/>
    <w:next w:val="657"/>
    <w:link w:val="680"/>
    <w:uiPriority w:val="10"/>
    <w:qFormat/>
    <w:pPr>
      <w:contextualSpacing/>
      <w:spacing w:before="300"/>
    </w:pPr>
    <w:rPr>
      <w:sz w:val="48"/>
      <w:szCs w:val="48"/>
    </w:rPr>
  </w:style>
  <w:style w:type="character" w:styleId="680" w:customStyle="1">
    <w:name w:val="Заголовок Знак"/>
    <w:link w:val="679"/>
    <w:uiPriority w:val="10"/>
    <w:rPr>
      <w:sz w:val="48"/>
      <w:szCs w:val="48"/>
    </w:rPr>
  </w:style>
  <w:style w:type="paragraph" w:styleId="681">
    <w:name w:val="Subtitle"/>
    <w:basedOn w:val="657"/>
    <w:next w:val="657"/>
    <w:link w:val="682"/>
    <w:uiPriority w:val="11"/>
    <w:qFormat/>
    <w:pPr>
      <w:spacing w:before="200"/>
    </w:pPr>
    <w:rPr>
      <w:sz w:val="24"/>
      <w:szCs w:val="24"/>
    </w:rPr>
  </w:style>
  <w:style w:type="character" w:styleId="682" w:customStyle="1">
    <w:name w:val="Подзаголовок Знак"/>
    <w:link w:val="681"/>
    <w:uiPriority w:val="11"/>
    <w:rPr>
      <w:sz w:val="24"/>
      <w:szCs w:val="24"/>
    </w:rPr>
  </w:style>
  <w:style w:type="paragraph" w:styleId="683">
    <w:name w:val="Quote"/>
    <w:basedOn w:val="657"/>
    <w:next w:val="657"/>
    <w:link w:val="684"/>
    <w:uiPriority w:val="29"/>
    <w:qFormat/>
    <w:pPr>
      <w:ind w:left="720" w:right="720"/>
    </w:pPr>
    <w:rPr>
      <w:i/>
    </w:rPr>
  </w:style>
  <w:style w:type="character" w:styleId="684" w:customStyle="1">
    <w:name w:val="Цитата 2 Знак"/>
    <w:link w:val="683"/>
    <w:uiPriority w:val="29"/>
    <w:rPr>
      <w:i/>
    </w:rPr>
  </w:style>
  <w:style w:type="paragraph" w:styleId="685">
    <w:name w:val="Intense Quote"/>
    <w:basedOn w:val="657"/>
    <w:next w:val="657"/>
    <w:link w:val="68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 w:customStyle="1">
    <w:name w:val="Выделенная цитата Знак"/>
    <w:link w:val="685"/>
    <w:uiPriority w:val="30"/>
    <w:rPr>
      <w:i/>
    </w:rPr>
  </w:style>
  <w:style w:type="paragraph" w:styleId="687">
    <w:name w:val="Header"/>
    <w:basedOn w:val="65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Верхний колонтитул Знак"/>
    <w:link w:val="687"/>
    <w:uiPriority w:val="99"/>
  </w:style>
  <w:style w:type="paragraph" w:styleId="689">
    <w:name w:val="Footer"/>
    <w:basedOn w:val="657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 w:customStyle="1">
    <w:name w:val="Footer Char"/>
    <w:uiPriority w:val="99"/>
  </w:style>
  <w:style w:type="paragraph" w:styleId="691">
    <w:name w:val="Caption"/>
    <w:basedOn w:val="657"/>
    <w:next w:val="657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92" w:customStyle="1">
    <w:name w:val="Нижний колонтитул Знак"/>
    <w:link w:val="689"/>
    <w:uiPriority w:val="99"/>
  </w:style>
  <w:style w:type="table" w:styleId="693">
    <w:name w:val="Table Grid"/>
    <w:basedOn w:val="66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4" w:customStyle="1">
    <w:name w:val="Table Grid Light"/>
    <w:basedOn w:val="6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5">
    <w:name w:val="Plain Table 1"/>
    <w:basedOn w:val="6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6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 w:customStyle="1">
    <w:name w:val="Grid Table 1 Light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 w:customStyle="1">
    <w:name w:val="Grid Table 4 - Accent 1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3" w:customStyle="1">
    <w:name w:val="Grid Table 4 - Accent 2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4" w:customStyle="1">
    <w:name w:val="Grid Table 4 - Accent 3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5" w:customStyle="1">
    <w:name w:val="Grid Table 4 - Accent 4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6" w:customStyle="1">
    <w:name w:val="Grid Table 4 - Accent 5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7" w:customStyle="1">
    <w:name w:val="Grid Table 4 - Accent 6"/>
    <w:basedOn w:val="6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8">
    <w:name w:val="Grid Table 5 Dark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3" w:customStyle="1">
    <w:name w:val="Grid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5">
    <w:name w:val="Grid Table 6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6" w:customStyle="1">
    <w:name w:val="Grid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7" w:customStyle="1">
    <w:name w:val="Grid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8" w:customStyle="1">
    <w:name w:val="Grid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9" w:customStyle="1">
    <w:name w:val="Grid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40" w:customStyle="1">
    <w:name w:val="Grid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1" w:customStyle="1">
    <w:name w:val="Grid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2">
    <w:name w:val="Grid Table 7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1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2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3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4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 - Accent 5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6"/>
    <w:basedOn w:val="6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61" w:customStyle="1">
    <w:name w:val="List Table 2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3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 w:customStyle="1">
    <w:name w:val="List Table 5 Dark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>
    <w:name w:val="List Table 6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5" w:customStyle="1">
    <w:name w:val="List Table 6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6" w:customStyle="1">
    <w:name w:val="List Table 6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7" w:customStyle="1">
    <w:name w:val="List Table 6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8" w:customStyle="1">
    <w:name w:val="List Table 6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9" w:customStyle="1">
    <w:name w:val="List Table 6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90" w:customStyle="1">
    <w:name w:val="List Table 6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91">
    <w:name w:val="List Table 7 Colorful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7 Colorful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7 Colorful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9" w:customStyle="1">
    <w:name w:val="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0" w:customStyle="1">
    <w:name w:val="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1" w:customStyle="1">
    <w:name w:val="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2" w:customStyle="1">
    <w:name w:val="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3" w:customStyle="1">
    <w:name w:val="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4" w:customStyle="1">
    <w:name w:val="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5" w:customStyle="1">
    <w:name w:val="Bordered &amp; Lined - Accent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6" w:customStyle="1">
    <w:name w:val="Bordered &amp; Lined - Accent 1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7" w:customStyle="1">
    <w:name w:val="Bordered &amp; Lined - Accent 2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8" w:customStyle="1">
    <w:name w:val="Bordered &amp; Lined - Accent 3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9" w:customStyle="1">
    <w:name w:val="Bordered &amp; Lined - Accent 4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0" w:customStyle="1">
    <w:name w:val="Bordered &amp; Lined - Accent 5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1" w:customStyle="1">
    <w:name w:val="Bordered &amp; Lined - Accent 6"/>
    <w:basedOn w:val="6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2" w:customStyle="1">
    <w:name w:val="Bordered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3" w:customStyle="1">
    <w:name w:val="Bordered - Accent 1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4" w:customStyle="1">
    <w:name w:val="Bordered - Accent 2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5" w:customStyle="1">
    <w:name w:val="Bordered - Accent 3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6" w:customStyle="1">
    <w:name w:val="Bordered - Accent 4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7" w:customStyle="1">
    <w:name w:val="Bordered - Accent 5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8" w:customStyle="1">
    <w:name w:val="Bordered - Accent 6"/>
    <w:basedOn w:val="6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563c1" w:themeColor="hyperlink"/>
      <w:u w:val="single"/>
    </w:rPr>
  </w:style>
  <w:style w:type="paragraph" w:styleId="820">
    <w:name w:val="footnote text"/>
    <w:basedOn w:val="65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 w:customStyle="1">
    <w:name w:val="Текст сноски Знак"/>
    <w:link w:val="820"/>
    <w:uiPriority w:val="99"/>
    <w:rPr>
      <w:sz w:val="18"/>
    </w:rPr>
  </w:style>
  <w:style w:type="character" w:styleId="822">
    <w:name w:val="footnote reference"/>
    <w:uiPriority w:val="99"/>
    <w:unhideWhenUsed/>
    <w:rPr>
      <w:vertAlign w:val="superscript"/>
    </w:rPr>
  </w:style>
  <w:style w:type="paragraph" w:styleId="823">
    <w:name w:val="endnote text"/>
    <w:basedOn w:val="65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 w:customStyle="1">
    <w:name w:val="Текст концевой сноски Знак"/>
    <w:link w:val="823"/>
    <w:uiPriority w:val="99"/>
    <w:rPr>
      <w:sz w:val="20"/>
    </w:rPr>
  </w:style>
  <w:style w:type="character" w:styleId="825">
    <w:name w:val="endnote reference"/>
    <w:uiPriority w:val="99"/>
    <w:semiHidden/>
    <w:unhideWhenUsed/>
    <w:rPr>
      <w:vertAlign w:val="superscript"/>
    </w:rPr>
  </w:style>
  <w:style w:type="paragraph" w:styleId="826">
    <w:name w:val="toc 1"/>
    <w:basedOn w:val="657"/>
    <w:next w:val="657"/>
    <w:uiPriority w:val="39"/>
    <w:unhideWhenUsed/>
    <w:pPr>
      <w:spacing w:after="57"/>
    </w:pPr>
  </w:style>
  <w:style w:type="paragraph" w:styleId="827">
    <w:name w:val="toc 2"/>
    <w:basedOn w:val="657"/>
    <w:next w:val="657"/>
    <w:uiPriority w:val="39"/>
    <w:unhideWhenUsed/>
    <w:pPr>
      <w:ind w:left="283"/>
      <w:spacing w:after="57"/>
    </w:pPr>
  </w:style>
  <w:style w:type="paragraph" w:styleId="828">
    <w:name w:val="toc 3"/>
    <w:basedOn w:val="657"/>
    <w:next w:val="657"/>
    <w:uiPriority w:val="39"/>
    <w:unhideWhenUsed/>
    <w:pPr>
      <w:ind w:left="567"/>
      <w:spacing w:after="57"/>
    </w:pPr>
  </w:style>
  <w:style w:type="paragraph" w:styleId="829">
    <w:name w:val="toc 4"/>
    <w:basedOn w:val="657"/>
    <w:next w:val="657"/>
    <w:uiPriority w:val="39"/>
    <w:unhideWhenUsed/>
    <w:pPr>
      <w:ind w:left="850"/>
      <w:spacing w:after="57"/>
    </w:pPr>
  </w:style>
  <w:style w:type="paragraph" w:styleId="830">
    <w:name w:val="toc 5"/>
    <w:basedOn w:val="657"/>
    <w:next w:val="657"/>
    <w:uiPriority w:val="39"/>
    <w:unhideWhenUsed/>
    <w:pPr>
      <w:ind w:left="1134"/>
      <w:spacing w:after="57"/>
    </w:pPr>
  </w:style>
  <w:style w:type="paragraph" w:styleId="831">
    <w:name w:val="toc 6"/>
    <w:basedOn w:val="657"/>
    <w:next w:val="657"/>
    <w:uiPriority w:val="39"/>
    <w:unhideWhenUsed/>
    <w:pPr>
      <w:ind w:left="1417"/>
      <w:spacing w:after="57"/>
    </w:pPr>
  </w:style>
  <w:style w:type="paragraph" w:styleId="832">
    <w:name w:val="toc 7"/>
    <w:basedOn w:val="657"/>
    <w:next w:val="657"/>
    <w:uiPriority w:val="39"/>
    <w:unhideWhenUsed/>
    <w:pPr>
      <w:ind w:left="1701"/>
      <w:spacing w:after="57"/>
    </w:pPr>
  </w:style>
  <w:style w:type="paragraph" w:styleId="833">
    <w:name w:val="toc 8"/>
    <w:basedOn w:val="657"/>
    <w:next w:val="657"/>
    <w:uiPriority w:val="39"/>
    <w:unhideWhenUsed/>
    <w:pPr>
      <w:ind w:left="1984"/>
      <w:spacing w:after="57"/>
    </w:pPr>
  </w:style>
  <w:style w:type="paragraph" w:styleId="834">
    <w:name w:val="toc 9"/>
    <w:basedOn w:val="657"/>
    <w:next w:val="657"/>
    <w:uiPriority w:val="39"/>
    <w:unhideWhenUsed/>
    <w:pPr>
      <w:ind w:left="2268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657"/>
    <w:next w:val="657"/>
    <w:uiPriority w:val="99"/>
    <w:unhideWhenUsed/>
    <w:pPr>
      <w:spacing w:after="0"/>
    </w:pPr>
  </w:style>
  <w:style w:type="paragraph" w:styleId="837">
    <w:name w:val="No Spacing"/>
    <w:basedOn w:val="657"/>
    <w:uiPriority w:val="1"/>
    <w:qFormat/>
    <w:pPr>
      <w:spacing w:after="0" w:line="240" w:lineRule="auto"/>
    </w:pPr>
  </w:style>
  <w:style w:type="paragraph" w:styleId="838">
    <w:name w:val="List Paragraph"/>
    <w:basedOn w:val="657"/>
    <w:uiPriority w:val="34"/>
    <w:qFormat/>
    <w:pPr>
      <w:contextualSpacing/>
      <w:ind w:left="720"/>
    </w:pPr>
  </w:style>
  <w:style w:type="paragraph" w:styleId="839" w:customStyle="1">
    <w:name w:val="Default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Times New Roman" w:eastAsiaTheme="minorEastAsia"/>
      <w:color w:val="000000"/>
      <w:sz w:val="24"/>
      <w:szCs w:val="24"/>
      <w:lang w:eastAsia="ru-RU"/>
    </w:rPr>
  </w:style>
  <w:style w:type="paragraph" w:styleId="840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Times New Roman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mikhaylova_ov@gtn.belregion.ru" TargetMode="External"/><Relationship Id="rId10" Type="http://schemas.openxmlformats.org/officeDocument/2006/relationships/hyperlink" Target="https://login.consultant.ru/link/?req=doc&amp;base=LAW&amp;n=481150&amp;date=17.10.2024&amp;dst=5&amp;field=134" TargetMode="External"/><Relationship Id="rId11" Type="http://schemas.openxmlformats.org/officeDocument/2006/relationships/hyperlink" Target="https://login.consultant.ru/link/?req=doc&amp;base=LAW&amp;n=481150&amp;date=17.10.2024&amp;dst=5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2023-04-05T10:42:00Z</dcterms:created>
  <dcterms:modified xsi:type="dcterms:W3CDTF">2025-11-17T07:13:27Z</dcterms:modified>
</cp:coreProperties>
</file>