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>
        <w:rPr>
          <w:rFonts w:ascii="Times New Roman" w:hAnsi="Times New Roman" w:eastAsia="Times New Roman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Департамент устойчивого развития сельских территорий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министерства сельского хозяйства и продовольствия Белгородской области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«</w:t>
      </w:r>
      <w:r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 xml:space="preserve">О содействии повышению кадровой обеспеченности предприятий агропромышленного комплекса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»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начало: 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январ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я 202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 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.;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окончание 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05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февраля</w:t>
      </w:r>
      <w:bookmarkStart w:id="1" w:name="_GoBack"/>
      <w:r>
        <w:rPr>
          <w:sz w:val="26"/>
          <w:szCs w:val="26"/>
        </w:rPr>
      </w:r>
      <w:bookmarkEnd w:id="1"/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 202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 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  <w:highlight w:val="yellow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Средняя.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Проект нормативного правового акта содержит положения, изменяющие ранее предусмотренные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условия оказания государственной поддержки сельскохозяйственным товаропроизводителям в обеспечении квалифицированными специалистами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  <w:highlight w:val="yellow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 в органе-разработчике:</w:t>
      </w: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Доношенко Екатерина Ивановна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консультант отдела социального развития села и инженерной инфраструктуры департамента устойчивого развития сельских территорий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(4722) 24-76-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52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Адрес электронной почты: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  <w:lang w:val="en-US"/>
        </w:rPr>
        <w:t xml:space="preserve">donoshenko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_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  <w:lang w:val="en-US"/>
        </w:rPr>
        <w:t xml:space="preserve">ei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@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  <w:lang w:val="en-US"/>
        </w:rPr>
        <w:t xml:space="preserve">belreg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.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  <w:lang w:val="en-US"/>
        </w:rPr>
        <w:t xml:space="preserve">ru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Недостаток квалифицированных специалистов среди сельскохоз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яйственных товаропроизводителей, осуществляющих деятельность на сельских территориях.</w:t>
      </w: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Необходимость оптимизации процедуры проведения конкурсного отбора по предоставлению субсидии </w:t>
      </w:r>
      <w:r>
        <w:rPr>
          <w:rFonts w:ascii="Times New Roman" w:hAnsi="Times New Roman" w:eastAsia="Times New Roman" w:cs="Times New Roman"/>
          <w:bCs/>
          <w:i/>
          <w:iCs/>
          <w:sz w:val="26"/>
          <w:szCs w:val="26"/>
          <w:u w:val="single"/>
          <w:lang w:eastAsia="ru-RU"/>
        </w:rPr>
        <w:t xml:space="preserve">на реализацию мероприятий,</w:t>
      </w:r>
      <w:r>
        <w:rPr>
          <w:rFonts w:ascii="Times New Roman" w:hAnsi="Times New Roman" w:eastAsia="Times New Roman" w:cs="Times New Roman"/>
          <w:bCs/>
          <w:i/>
          <w:iCs/>
          <w:sz w:val="26"/>
          <w:szCs w:val="26"/>
          <w:u w:val="single"/>
          <w:lang w:eastAsia="ru-RU"/>
        </w:rPr>
        <w:t xml:space="preserve"> направленных</w:t>
      </w:r>
      <w:r>
        <w:rPr>
          <w:rFonts w:ascii="Times New Roman" w:hAnsi="Times New Roman" w:eastAsia="Times New Roman" w:cs="Times New Roman"/>
          <w:bCs/>
          <w:i/>
          <w:iCs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sz w:val="26"/>
          <w:szCs w:val="26"/>
          <w:u w:val="single"/>
          <w:lang w:eastAsia="ru-RU"/>
        </w:rPr>
        <w:t xml:space="preserve">на повышени</w:t>
      </w:r>
      <w:r>
        <w:rPr>
          <w:rFonts w:ascii="Times New Roman" w:hAnsi="Times New Roman" w:eastAsia="Times New Roman" w:cs="Times New Roman"/>
          <w:bCs/>
          <w:i/>
          <w:iCs/>
          <w:sz w:val="26"/>
          <w:szCs w:val="26"/>
          <w:u w:val="singl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Cs/>
          <w:i/>
          <w:iCs/>
          <w:sz w:val="26"/>
          <w:szCs w:val="26"/>
          <w:u w:val="single"/>
          <w:lang w:eastAsia="ru-RU"/>
        </w:rPr>
        <w:t xml:space="preserve"> кадровой обеспеченности предприятий агропромышленного комплекса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(электронное предоставление заявочной документации).</w:t>
      </w: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Мониторинг федерального законодательства, а также антикризисных мер в сельскохозяйст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венном секторе региона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- невозможность получения федерального финансирования на возмещение затрат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хозяйствующим субъектам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,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связанных с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реализацией мероприятий по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содействию повышения кадровой обеспеченности предприятий агропромышленного комплекса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 ( возмещение затрат на обучение, оплату труда и проживание студентов, стимулирующие выплаты учителям агроклассов и специалистам, реконструкцию, капитальный ремонт, модернизацию объектов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СПО, капитальный ремонт (оснащение) оборудованием агроклассов, а также предоставление жилья по договору найма жилого помещения)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без утверждения регионального нормативно-правового акта;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- невозможность проведения конкурсных мероприятий, отсутствие альте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рнативных безвозмездных методов поддержки сельскохозяйственных товаропроизводителей в современных условиях.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Анализ опыта иных субъектов Российской Федерации пока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зал, что органами исполнительной власти всех субъектов Российской Федерации ведутся работы по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разработке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аналогичных нормативны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х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правовы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х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акт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ов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, предусматривающих поряд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ок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предоставления государственной поддержки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хозяйствующим субъектам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на реализацию мероприятий, направленных на содействи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е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повышения кадровой обеспеченности предприятий агропромышленного комплекса</w:t>
      </w:r>
      <w:r>
        <w:rPr>
          <w:rFonts w:ascii="Times New Roman" w:hAnsi="Times New Roman" w:eastAsia="Calibri" w:cs="Times New Roman"/>
          <w:bCs/>
          <w:i/>
          <w:iCs/>
          <w:sz w:val="26"/>
          <w:szCs w:val="26"/>
          <w:u w:val="single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i/>
          <w:color w:val="000000" w:themeColor="text1"/>
          <w:sz w:val="26"/>
          <w:szCs w:val="26"/>
          <w:u w:val="single"/>
          <w:lang w:val="ru-RU"/>
        </w:rPr>
        <w:t xml:space="preserve">повышение кадровой обеспеченности предприятий агропромышленного </w:t>
      </w:r>
      <w:r>
        <w:rPr>
          <w:rFonts w:ascii="Times New Roman" w:hAnsi="Times New Roman" w:eastAsia="Calibri" w:cs="Times New Roman"/>
          <w:b w:val="0"/>
          <w:bCs w:val="0"/>
          <w:i/>
          <w:color w:val="000000" w:themeColor="text1"/>
          <w:sz w:val="26"/>
          <w:szCs w:val="26"/>
          <w:u w:val="single"/>
          <w:lang w:val="ru-RU"/>
        </w:rPr>
        <w:t xml:space="preserve">комплекса в</w:t>
      </w:r>
      <w:r>
        <w:rPr>
          <w:rFonts w:ascii="Times New Roman" w:hAnsi="Times New Roman" w:eastAsia="Calibri" w:cs="Times New Roman"/>
          <w:b w:val="0"/>
          <w:bCs w:val="0"/>
          <w:i/>
          <w:color w:val="000000" w:themeColor="text1"/>
          <w:sz w:val="26"/>
          <w:szCs w:val="26"/>
          <w:u w:val="single"/>
          <w:lang w:val="ru-RU"/>
        </w:rPr>
        <w:t xml:space="preserve"> рамках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</w:t>
      </w:r>
      <w:r>
        <w:rPr>
          <w:b w:val="0"/>
          <w:bCs w:val="0"/>
          <w:color w:val="000000" w:themeColor="text1"/>
          <w:sz w:val="26"/>
          <w:szCs w:val="26"/>
        </w:rPr>
        <w:t xml:space="preserve">. </w:t>
      </w:r>
      <w:r>
        <w:rPr>
          <w:b w:val="0"/>
          <w:bCs w:val="0"/>
          <w:color w:val="000000" w:themeColor="text1"/>
          <w:sz w:val="26"/>
          <w:szCs w:val="26"/>
        </w:rPr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С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оздание оптимальных условий для оказания государственной поддержки сельскохозяйственным товаропроизводителям в обеспечении квалифицированными специалистами. </w:t>
      </w:r>
      <w:r>
        <w:rPr>
          <w:sz w:val="26"/>
          <w:szCs w:val="26"/>
        </w:rPr>
      </w:r>
      <w:r/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</w:t>
      </w:r>
      <w:r>
        <w:rPr>
          <w:rFonts w:ascii="Times New Roman" w:hAnsi="Times New Roman" w:eastAsia="Calibri" w:cs="Times New Roman"/>
          <w:sz w:val="26"/>
          <w:szCs w:val="26"/>
        </w:rPr>
        <w:t xml:space="preserve">лирования: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Проект нормативного правового акта разработан в соответствии с пунктом 1 статьи 78, статьей 78.5 Бюджетного кодекса Российской Федерации,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Государственной программ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ой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развития сельского хозяйства и регулирования рынков сельскохозяйственной продукции, сырья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и продовольствия, утвержденной постановлением Правительства Российской Федерации от 14 июля 2012 года № 717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, правилами отбора получателей субсидий, в том числе грант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ой Федерации от 25 октября 2023 года № 1781, 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Российской Федерации от 25 октября 2023 года № 1782</w:t>
      </w:r>
      <w:r>
        <w:rPr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декабрь 202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5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года 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Отсутствует.</w:t>
      </w:r>
      <w:r>
        <w:rPr>
          <w:sz w:val="26"/>
          <w:szCs w:val="26"/>
        </w:rPr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регулирования: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Проектом нормативного правового акта утверждается порядок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предоставления субсидий на реализацию мероприятий по содействию повышению кадровой обеспеченности предприятий агропромышленного комплекса</w:t>
      </w: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,</w:t>
      </w: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 а также п</w:t>
      </w: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орядок создания комиссии по отбору проектов в сфере агропромышленного комплекса</w:t>
      </w: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,</w:t>
      </w: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 включающий в себя: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1)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Порядок проведения отбора получателей субсидии и предъявляемые к ним требования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;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2)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Условия и порядок предоставления субсидий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;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3) Требования к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предоставлению отчетности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;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4) Требования к осуществлению контроля (мониторинга) за соблюдением условий и порядка предоставления субсидий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и ответственности за их нарушение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.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5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П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орядок проведения отбора проектов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в сфере агропромышленного комплекса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и формирование списка специалистов – участников проектов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Обучение сотрудников по программам среднего, высшего и дополнительного профессион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ального образования за счёт собственных или заёмных (кредитных) средств сельхозтоваропроизводителей.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highlight w:val="yellow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Оснащение агроклассов оборудованием, ремонт и модернизация СПО с целью привлечения кадров в агропромышленный комплекс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за счёт собственных или заёмных (кредитных) средств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хозяйствующих субъектов.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 Обоснование выбора предлагаемого способа решения проблемы: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highlight w:val="yellow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Предпочтительным вариантом решения проблемы департамент устойчивого развития сельских территорий министерства сельского хозяйства и продовольствия Белгородской области считает принятие постановления Правительства Белгородской области, позволяющего оказыват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ь государственную поддержку </w:t>
      </w: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хозяйствующим субъектам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в виде предоставления субсидии </w:t>
      </w:r>
      <w:r>
        <w:rPr>
          <w:rFonts w:ascii="Times New Roman" w:hAnsi="Times New Roman"/>
          <w:i/>
          <w:iCs/>
          <w:sz w:val="26"/>
          <w:szCs w:val="26"/>
          <w:u w:val="single"/>
        </w:rPr>
        <w:t xml:space="preserve">на реализацию мероприятий по содействию повышения кадровой обеспеченности предприятий агропромышленного комплекса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Данное нормативное регулирование позволит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хозяйствующим субъектам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, при нехватке специалистов, обучить и привлечь для временной трудовой деятельности студентов, компенсировав при этом часть затрат, связанных с их оплатой труда и проживанием,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организовать профессиональное и дополнительное профессиональное обучение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сотрудников,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в том числе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лиц предпенсионного возраста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, а также создать необходимые условия для потенциальных кадров, оснастив современным оборудованием школы и СПО.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highlight w:val="none"/>
          <w:u w:val="single"/>
        </w:rPr>
        <w:t xml:space="preserve">Данное нормативное правовое регулирование позволит снизить финансовую нагрузку на хозяйству</w:t>
      </w:r>
      <w:r>
        <w:rPr>
          <w:rFonts w:ascii="Times New Roman" w:hAnsi="Times New Roman" w:eastAsia="Calibri" w:cs="Times New Roman"/>
          <w:i/>
          <w:sz w:val="26"/>
          <w:szCs w:val="26"/>
          <w:highlight w:val="none"/>
          <w:u w:val="single"/>
        </w:rPr>
        <w:t xml:space="preserve">ющие субъекты, будет способствовать повышению заинтересованности сельскохозяйственных товаропроизводителей в привлечении студентов на прохождение оплачиваемой производственной практики и повышении квалификации сотрудников предприятия.</w:t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Школьники, студенты и абитуриенты получат возможность за счет средств работодателя пройти обучение и поступить на работу к сельхозтоваропроизводителям после окончания обучения в образовательной организации.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</w:rPr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Хозяйствующие субъекты, индивидуальные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предприниматели или организации, осуществляющие деятельность на сельских территориях Белгородской области, являющиеся сельскохозяйственным товаропроизводителем (кроме граждан, ведущих личное подсобное хозяйство) независимо от организационно-правовой формы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40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4"/>
        <w:gridCol w:w="2693"/>
        <w:gridCol w:w="495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ind w:right="57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Хозяйствующие субъекты, индивидуальные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редприниматели или организации, осуществляющие деятельность на сельских территориях Белгородской области, являющиеся сельскохозяйственным товаропроизво-дителем (кроме граждан, ведущих личное подсоб-ное хозяйство) независимо от организационно-правовой формы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</w:rPr>
              <w:t xml:space="preserve">Преимущества:</w:t>
            </w:r>
            <w:r>
              <w:rPr>
                <w:b/>
                <w:bCs/>
              </w:rPr>
            </w:r>
            <w:r/>
          </w:p>
          <w:p>
            <w:pPr>
              <w:ind w:right="57" w:firstLine="259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- упрощение процедуры проведение конкурсного отбора по предоставлению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субсидии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 </w:t>
            </w:r>
            <w: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реализацию мероприятий по содействию повышения кадровой обеспеченности предприятий агропромышленного комплекса 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(электронное 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предоставление заявочной документации);</w:t>
            </w:r>
            <w:r/>
          </w:p>
          <w:p>
            <w:pPr>
              <w:ind w:right="57" w:firstLine="259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- отсутствие необходимости предоставления документов и информации, подтверждающих соответствие заявителя требованиям при наличии соответствующей информации в государственных информационных системах, доступ к которым 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у Министерства имеется в рамках межведомственного электронного взаимодействия</w:t>
            </w:r>
            <w:r/>
          </w:p>
          <w:p>
            <w:pPr>
              <w:ind w:right="57" w:firstLine="259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57" w:type="dxa"/>
            <w:vAlign w:val="center"/>
            <w:vMerge w:val="restart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Размер субсидии </w:t>
            </w:r>
            <w: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  реализацию мероприятий по содействию повышения кадровой обеспеченности предприятий агропромышленного комплекса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 до 90 процентов фактически понесенных в году предоставления и (или) в году, предшествующем году предоставления субсидии (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до 95 процентов фактически понесенных затрат на выплаты стимулирующего характера учителям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)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8"/>
                <w:szCs w:val="28"/>
              </w:rPr>
            </w:r>
            <w:r/>
          </w:p>
        </w:tc>
      </w:tr>
      <w:tr>
        <w:trPr>
          <w:cantSplit/>
          <w:trHeight w:val="559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ind w:right="57" w:firstLine="537"/>
              <w:jc w:val="both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Обязанности: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- предоставление пакета документов, необходимого для участия в конкурсном отборе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highlight w:val="none"/>
                <w:lang w:eastAsia="ru-RU"/>
              </w:rPr>
              <w:t xml:space="preserve">Общая стоимость трудозатрат: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- Практика, обучение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136,3 тыс. руб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.</w:t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- Выплаты стимулирующего характера учителям –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34,8 тыс. руб.</w:t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- Выплаты стимулирующего характера специалистам –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19,8 тыс. руб. </w:t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- Затраты на создание агротехнологического класса –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 48,5 тыс. руб. </w:t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- Затраты на объекты среднего профессионального образования –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6,6 тыс. руб. </w:t>
            </w:r>
            <w:r>
              <w:rPr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- Затраты на строительство жилья, по договору найма жилого помещения –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14,4 тыс. руб.</w:t>
            </w:r>
            <w:r>
              <w:rPr>
                <w:highlight w:val="none"/>
              </w:rPr>
            </w:r>
            <w:r/>
          </w:p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>
          <w:trHeight w:val="12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Функции министерства будут осуще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2381"/>
        <w:gridCol w:w="3856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функций, полномочий, обязанностей или прав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конкурсного отбора, подготовка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документов для выплаты субсидии, осуществление контроля за соблюдением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Выплата субсидии</w:t>
            </w:r>
            <w:r/>
          </w:p>
        </w:tc>
        <w:tc>
          <w:tcPr>
            <w:tcW w:w="3856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Финансирование на 2025-2027 годы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предусмотрено в объемах: 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 2025 г. – 313 006,17 тыс. руб.;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 2025 г. – 540 856,818 тыс. руб.;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 2026 г. – 316 094,274 тыс. руб.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Общая сумма заложенных в бюджете на 2025-2027 годы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средств 1 169 957,263 тыс. руб.:</w:t>
            </w:r>
            <w:r/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eastAsia="ru-RU"/>
              </w:rPr>
              <w:t xml:space="preserve">- практика и обучение – 50 573,994 тыс. руб. (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t xml:space="preserve">средства федерального бюджета – 44 623,3 тыс. руб., средства областного бюджета 5 950,694 тыс. руб.); </w:t>
            </w:r>
            <w:r/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eastAsia="ru-RU"/>
              </w:rPr>
              <w:t xml:space="preserve"> выплаты стимулирующего характера – 301 129,318 тыс. руб. 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t xml:space="preserve">(средства федерального бюджета –  259 158,6 тыс. руб., средства областного бюджета 41 970,718 тыс. руб.)</w:t>
            </w:r>
            <w:bookmarkStart w:id="4" w:name="undefined"/>
            <w:r/>
            <w:bookmarkEnd w:id="4"/>
            <w:r/>
            <w:r/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eastAsia="ru-RU"/>
              </w:rPr>
              <w:t xml:space="preserve">модернизация объектов СПО </w:t>
            </w:r>
            <w:bookmarkStart w:id="5" w:name="_Hlk187680287"/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eastAsia="ru-RU"/>
              </w:rPr>
              <w:t xml:space="preserve">– 481 232,093 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t xml:space="preserve">тыс. руб. (средства федерального бюджета – 434 043,7 тыс. руб., средства областного бюджета 47 188,393 тыс. руб.)</w:t>
            </w:r>
            <w:bookmarkEnd w:id="5"/>
            <w:r/>
            <w:r/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eastAsia="ru-RU"/>
              </w:rPr>
              <w:t xml:space="preserve">агроклассы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t xml:space="preserve">  – </w:t>
            </w: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eastAsia="ru-RU"/>
              </w:rPr>
              <w:t xml:space="preserve">129 620,489 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t xml:space="preserve">тыс. руб. (средства федерального бюджета – 114 117,8 тыс. руб., средства областного бюджета  15 502,689 тыс. руб.)</w:t>
            </w:r>
            <w:r/>
          </w:p>
          <w:p>
            <w:pPr>
              <w:jc w:val="left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eastAsia="ru-RU"/>
              </w:rPr>
              <w:t xml:space="preserve">соцнайм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t xml:space="preserve"> - – </w:t>
            </w:r>
            <w:r>
              <w:rPr>
                <w:rFonts w:ascii="Times New Roman" w:hAnsi="Times New Roman" w:eastAsia="Arial" w:cs="Times New Roman"/>
                <w:b/>
                <w:bCs/>
                <w:sz w:val="24"/>
                <w:szCs w:val="24"/>
                <w:lang w:eastAsia="ru-RU"/>
              </w:rPr>
              <w:t xml:space="preserve">207 401,367 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ru-RU"/>
              </w:rPr>
              <w:t xml:space="preserve">тыс. руб. (средства федерального бюджета – 177 433,7 тыс. руб., средства областного бюджета 29 967,06 тыс. руб.)</w:t>
            </w:r>
            <w:r/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обязательные требования проектом нормативного правового акта не устанавливаются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>
        <w:rPr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>
        <w:rPr>
          <w:sz w:val="26"/>
          <w:szCs w:val="26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Снижение количества заявок на участие в конкурсном отборе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Маловероятно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обучающих семинаров, инфо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рмирование населения о мерах поддержки, мониторинг количества потенциальных участников отбора 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6"/>
        <w:gridCol w:w="1955"/>
        <w:gridCol w:w="1417"/>
        <w:gridCol w:w="1588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финансиро- 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финансиро- 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Размещение информации о принятии постановления Правительства Белгородской области о внесенных изменениях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официальном сайте ведомства (belapk.ru )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Февраль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Подача заявок на участие в отборе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нет</w:t>
            </w:r>
            <w:r/>
          </w:p>
        </w:tc>
      </w:tr>
      <w:tr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обучающих семинаров, информирование населения о мерах поддержки, мониторинг количества потенциальных участников отбора </w:t>
            </w:r>
            <w:r/>
          </w:p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Систематически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Подача заявок на участие в отборе</w:t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126"/>
        <w:gridCol w:w="2693"/>
        <w:gridCol w:w="1844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ind w:left="-120" w:firstLine="22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Направлены на обучение граждане 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Российской Федерации для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r>
            <w:r/>
          </w:p>
          <w:p>
            <w:pPr>
              <w:ind w:left="-120" w:firstLine="22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сельскохозяйственных</w:t>
            </w:r>
            <w:r/>
          </w:p>
          <w:p>
            <w:pPr>
              <w:ind w:left="-120" w:firstLine="22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товаропроизводителей и</w:t>
            </w:r>
            <w:r/>
          </w:p>
          <w:p>
            <w:pPr>
              <w:ind w:left="-120" w:firstLine="22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организаций, осуществляющих</w:t>
            </w:r>
            <w:r/>
          </w:p>
          <w:p>
            <w:pPr>
              <w:ind w:left="-120" w:firstLine="22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переработку сельскохозяйственной</w:t>
            </w:r>
            <w:r/>
          </w:p>
          <w:p>
            <w:pPr>
              <w:ind w:left="-120" w:firstLine="22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продукции, на сельских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территориях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Привлечены обучающиеся для 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прохождения практики и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осуществления трудовой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деятельности к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сельскохозяйственным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товаропроизводителям и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организациям, осуществляющим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переработку сельскохозяйственной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продукции, на сельских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территориях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Привлечены специалисты в 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реализацию ключевых проектов в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сфере агропромышленного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комплекса за счет предоставления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выплат стимулирующего характера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Модернизированы объекты в целях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привлечения квалифицированных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рабочих и специалистов среднего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звена на предприятия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агропромышленного комплекса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Осуществлено строительство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(приобретение) жилья,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предоставляемого специалистам,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вовлеченным в реализацию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ключевых проектов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агропромышленного комплекса, по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договору найма жилого помещения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7 ед.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  <w:t xml:space="preserve">328 ед.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  <w:t xml:space="preserve">91 ед.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  <w:t xml:space="preserve">955 кв.м.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  <w:t xml:space="preserve">217 кв.м.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Квартальная форма отчётности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 в Минсельхоз РФ</w:t>
            </w:r>
            <w:r>
              <w:rPr>
                <w:rFonts w:ascii="Times New Roman" w:hAnsi="Times New Roman" w:eastAsia="Calibri" w:cs="Times New Roman"/>
                <w:bCs/>
                <w:i/>
                <w:color w:val="c0504d" w:themeColor="accent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(Отчёт о расходовании бюджета Белгородской области, в целях софинансирования которых 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предоставляется субсидия)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  <w:lang w:eastAsia="ru-RU"/>
              </w:rPr>
              <w:t xml:space="preserve">Годовая форма отчетности</w:t>
            </w: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 в Минсельхоз РФ (Отчет о достижении значений результатов использования субсидии)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4" w:type="dxa"/>
            <w:textDirection w:val="lrTb"/>
            <w:noWrap w:val="false"/>
          </w:tcPr>
          <w:p>
            <w:pPr>
              <w:ind w:firstLine="21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  <w:lang w:eastAsia="ru-RU"/>
              </w:rPr>
              <w:t xml:space="preserve">Ежегодно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i/>
          <w:sz w:val="26"/>
          <w:szCs w:val="26"/>
          <w:lang w:val="en-US"/>
        </w:rPr>
        <w:t xml:space="preserve">I</w:t>
      </w:r>
      <w:r>
        <w:rPr>
          <w:rFonts w:ascii="Times New Roman" w:hAnsi="Times New Roman" w:eastAsia="Calibri" w:cs="Times New Roman"/>
          <w:i/>
          <w:sz w:val="26"/>
          <w:szCs w:val="26"/>
        </w:rPr>
        <w:t xml:space="preserve"> квартал 202</w:t>
      </w:r>
      <w:r>
        <w:rPr>
          <w:rFonts w:ascii="Times New Roman" w:hAnsi="Times New Roman" w:eastAsia="Calibri" w:cs="Times New Roman"/>
          <w:i/>
          <w:sz w:val="26"/>
          <w:szCs w:val="26"/>
        </w:rPr>
        <w:t xml:space="preserve">5</w:t>
      </w:r>
      <w:r>
        <w:rPr>
          <w:rFonts w:ascii="Times New Roman" w:hAnsi="Times New Roman" w:eastAsia="Calibri" w:cs="Times New Roman"/>
          <w:i/>
          <w:sz w:val="26"/>
          <w:szCs w:val="26"/>
        </w:rPr>
        <w:t xml:space="preserve"> г.</w:t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egoe UI">
    <w:panose1 w:val="020B050204050402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37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63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39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40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41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42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3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44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645">
    <w:name w:val="Title Char"/>
    <w:basedOn w:val="663"/>
    <w:link w:val="677"/>
    <w:uiPriority w:val="10"/>
    <w:rPr>
      <w:sz w:val="48"/>
      <w:szCs w:val="48"/>
    </w:rPr>
  </w:style>
  <w:style w:type="character" w:styleId="646">
    <w:name w:val="Subtitle Char"/>
    <w:basedOn w:val="663"/>
    <w:link w:val="679"/>
    <w:uiPriority w:val="11"/>
    <w:rPr>
      <w:sz w:val="24"/>
      <w:szCs w:val="24"/>
    </w:rPr>
  </w:style>
  <w:style w:type="character" w:styleId="647">
    <w:name w:val="Quote Char"/>
    <w:link w:val="681"/>
    <w:uiPriority w:val="29"/>
    <w:rPr>
      <w:i/>
    </w:rPr>
  </w:style>
  <w:style w:type="character" w:styleId="648">
    <w:name w:val="Intense Quote Char"/>
    <w:link w:val="683"/>
    <w:uiPriority w:val="30"/>
    <w:rPr>
      <w:i/>
    </w:rPr>
  </w:style>
  <w:style w:type="character" w:styleId="649">
    <w:name w:val="Header Char"/>
    <w:basedOn w:val="663"/>
    <w:link w:val="685"/>
    <w:uiPriority w:val="99"/>
  </w:style>
  <w:style w:type="character" w:styleId="650">
    <w:name w:val="Caption Char"/>
    <w:basedOn w:val="689"/>
    <w:link w:val="687"/>
    <w:uiPriority w:val="99"/>
  </w:style>
  <w:style w:type="character" w:styleId="651">
    <w:name w:val="Footnote Text Char"/>
    <w:link w:val="818"/>
    <w:uiPriority w:val="99"/>
    <w:rPr>
      <w:sz w:val="18"/>
    </w:rPr>
  </w:style>
  <w:style w:type="character" w:styleId="652">
    <w:name w:val="Endnote Text Char"/>
    <w:link w:val="821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6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7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3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3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  <w:pPr>
      <w:spacing w:after="0"/>
    </w:pPr>
  </w:style>
  <w:style w:type="paragraph" w:styleId="835" w:customStyle="1">
    <w:name w:val="ConsPlusNormal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8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1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2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3" w:customStyle="1">
    <w:name w:val="Знак"/>
    <w:basedOn w:val="653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4">
    <w:name w:val="Balloon Text"/>
    <w:basedOn w:val="653"/>
    <w:link w:val="84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663"/>
    <w:link w:val="84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42</cp:revision>
  <dcterms:created xsi:type="dcterms:W3CDTF">2024-04-12T07:41:00Z</dcterms:created>
  <dcterms:modified xsi:type="dcterms:W3CDTF">2025-01-22T13:35:34Z</dcterms:modified>
</cp:coreProperties>
</file>