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Название государственной поддержки:</w:t>
      </w:r>
      <w:r>
        <w:rPr>
          <w:rFonts w:ascii="Times New Roman" w:hAnsi="Times New Roman" w:eastAsia="SimSun" w:cs="Times New Roman"/>
          <w:bCs/>
          <w:sz w:val="26"/>
          <w:szCs w:val="26"/>
        </w:rPr>
        <w:t xml:space="preserve"> предоставление субсидий из областного бюджета за счет средств федерального бюджета на </w:t>
      </w:r>
      <w:r>
        <w:rPr>
          <w:rFonts w:ascii="Times New Roman" w:hAnsi="Times New Roman" w:cs="Times New Roman"/>
          <w:sz w:val="26"/>
          <w:szCs w:val="26"/>
        </w:rPr>
        <w:t xml:space="preserve">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SimSun" w:cs="Times New Roman"/>
          <w:b/>
          <w:sz w:val="26"/>
          <w:szCs w:val="26"/>
        </w:rPr>
        <w:t xml:space="preserve">Максимальный размер предоставляемой субсидии: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 расчете из базовой ставки предоставления субсидии, но не более 90% фактически понесенных затрат получателя субсидии.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подготовка и представление документов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1 раз</w:t>
      </w:r>
      <w:r>
        <w:rPr>
          <w:rFonts w:ascii="Times New Roman" w:hAnsi="Times New Roman" w:cs="Times New Roman"/>
          <w:sz w:val="26"/>
          <w:szCs w:val="26"/>
        </w:rPr>
        <w:t xml:space="preserve"> в год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Масштаб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ед. на 2024 год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41 380 рублей.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235,11 рубля (41 380/22 дня/ 8 раб. часов).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>
        <w:trPr/>
        <w:tc>
          <w:tcPr>
            <w:tcW w:w="4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и подача пакета документов участника отбора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(текущее регулирование)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: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и подача пакета документов участника отбора </w:t>
            </w: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(п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редлагаемое регулирование с учетом подачи документов в электронном виде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):</w:t>
            </w:r>
            <w:r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4928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обязательство – 1,0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копия налоговой декларации –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копии актов апробации и (или) протоколов испытаний - 0,01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пия инвентаризационной описи многолетних насаждений, в том числе питомников, выполненные по формам, утвержденным приказом Минсельхоза России от 25 сентября 1995 г. № 271 «Об утверждении ведомственных форм по инвентаризации основных средств» – 1,0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справка органа местного самоуправления о пространственной изоляции от плодоносящих насаждений с приложением картографического материала (для маточников различных типов, севооборотов полей формирования и школы сеянцев) – 2,0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копия книги питомника культур с приложением схемы размещения культур (для маточников и питомников различных типов) –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копии аттестатов на базисное и (или) исходное растение, –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копия подтверждения фитосанитарного требования для посадочного материала, а также отсутствия вредоносных вирусов (для базисных растений), –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копии актов об использовании минеральных, органических и бактериальных удобрений, средств защиты растений, внесенных при закладке и (или) уходу за многолетними насаждениями, заверенные участником отбора – 0,5 чел./час.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проект на закладку питомника – 40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- предоставление заявочной документации заявителем при личном обращении в Министерство - 2,5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чел./часа.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Итого трудозатрат: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47,05 чел./часов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обязательство – 1,0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копия налоговой декларации –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копии актов апробации и (или) протоколов испытаний - 0,01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пия инвентаризационной описи многолетних насаждений, в том числе питомников, выполненные по формам, утвержденным приказом Минсельхоза России от 25 сентября 1995 г. № 271 «Об утверждении ведомственных форм по инвентаризации основных средств» – 1,0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справка органа местного самоуправления о пространственной изоляции от плодоносящих насаждений с приложением картографического материала (для маточников различных типов, севооборотов полей формирования и школы сеянцев) – 2,0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копия книги питомника культур с приложением схемы размещения культур (для маточников и питомников различных типов) –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копии аттестатов на базисное и (или) исходное растение, –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копия подтверждения фитосанитарного требования для посадочного материала, а также отсутствия вредоносных вирусов (для базисных растений), – 0,01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копии актов об использовании минеральных, органических и бактериальных удобрений, средств защиты растений, внесенных при закладке и (или) уходу за многолетними насаждениями, заверенные участником отбора – 0,5 чел./час.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проект на закладку питомника – 40 чел./час;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- предоставление заявочной документации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системе «Электронный бюджет» - 1 чел./час.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Итого трудозатрат: 45,55 чел./часов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928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Общая ст-ть трудозатрат: 276,5 тыс. руб.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(47,05 чел./часов * </w:t>
            </w: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lang w:eastAsia="ru-RU"/>
              </w:rPr>
              <w:t xml:space="preserve">235,11 руб. * 25 ед.)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Общая ст-ть трудозатрат: 267,7 тыс. руб.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/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(45,55 чел./часов * </w:t>
            </w: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lang w:eastAsia="ru-RU"/>
              </w:rPr>
              <w:t xml:space="preserve">235,11 руб. * 25 ед.)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</w:p>
        </w:tc>
      </w:tr>
      <w:tr>
        <w:trPr>
          <w:trHeight w:val="1959"/>
        </w:trPr>
        <w:tc>
          <w:tcPr>
            <w:gridSpan w:val="2"/>
            <w:tcW w:w="98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Таким образом, за счет предусмотренной возможности предоставления пакета документов на субсидию в электронном виде общая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стоимость требования на сбор и предоставление необходимого пакета документов сократится на 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lang w:eastAsia="ru-RU"/>
              </w:rPr>
              <w:t xml:space="preserve">8,8 тыс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  <w:t xml:space="preserve">. руб. (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276,5 тыс. руб. </w:t>
            </w:r>
            <w:r/>
            <w:r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267,7 тыс. руб.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highlight w:val="none"/>
                <w:lang w:eastAsia="ru-RU"/>
              </w:rPr>
              <w:t xml:space="preserve">Кроме того, сокращение трудозатрат заявителя возможно за счет предусмотренной проектом постановления возможности получения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Министерством необходимой информации в рамках межведомственного электронного взаимодействия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.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Финансирование в полном объеме заложено в Закон Белгородской области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от 27 декабря 2023 года № 335 «Об областном бюджете на 2024 год и на плановый период 2025 и 2026 годов». На 2024 год на данные виды поддержки предусматривается </w:t>
      </w:r>
      <w:r>
        <w:rPr>
          <w:rFonts w:ascii="Times New Roman" w:hAnsi="Times New Roman"/>
          <w:sz w:val="26"/>
          <w:szCs w:val="26"/>
        </w:rPr>
        <w:t xml:space="preserve">263</w:t>
      </w:r>
      <w:r>
        <w:rPr>
          <w:rFonts w:ascii="Times New Roman" w:hAnsi="Times New Roman"/>
          <w:sz w:val="26"/>
          <w:szCs w:val="26"/>
        </w:rPr>
        <w:t xml:space="preserve"> 8</w:t>
      </w:r>
      <w:r>
        <w:rPr>
          <w:rFonts w:ascii="Times New Roman" w:hAnsi="Times New Roman"/>
          <w:sz w:val="26"/>
          <w:szCs w:val="26"/>
        </w:rPr>
        <w:t xml:space="preserve">14</w:t>
      </w:r>
      <w:r>
        <w:rPr>
          <w:rFonts w:ascii="Times New Roman" w:hAnsi="Times New Roman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7</w:t>
      </w:r>
      <w:r>
        <w:rPr>
          <w:rFonts w:ascii="Times New Roman" w:hAnsi="Times New Roman"/>
          <w:sz w:val="26"/>
          <w:szCs w:val="26"/>
        </w:rPr>
        <w:t xml:space="preserve"> тыс. рублей.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6" w:bottom="993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60"/>
      </w:pPr>
      <w:rPr>
        <w:rFonts w:eastAsia="Calibri"/>
        <w:b w:val="0"/>
        <w:i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58"/>
    <w:link w:val="64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58"/>
    <w:link w:val="65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58"/>
    <w:link w:val="65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58"/>
    <w:link w:val="65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58"/>
    <w:link w:val="65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58"/>
    <w:link w:val="654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58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58"/>
    <w:link w:val="656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58"/>
    <w:link w:val="657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58"/>
    <w:link w:val="672"/>
    <w:uiPriority w:val="10"/>
    <w:rPr>
      <w:sz w:val="48"/>
      <w:szCs w:val="48"/>
    </w:rPr>
  </w:style>
  <w:style w:type="character" w:styleId="36">
    <w:name w:val="Subtitle Char"/>
    <w:basedOn w:val="658"/>
    <w:link w:val="674"/>
    <w:uiPriority w:val="11"/>
    <w:rPr>
      <w:sz w:val="24"/>
      <w:szCs w:val="24"/>
    </w:rPr>
  </w:style>
  <w:style w:type="character" w:styleId="38">
    <w:name w:val="Quote Char"/>
    <w:link w:val="676"/>
    <w:uiPriority w:val="29"/>
    <w:rPr>
      <w:i/>
    </w:rPr>
  </w:style>
  <w:style w:type="character" w:styleId="40">
    <w:name w:val="Intense Quote Char"/>
    <w:link w:val="678"/>
    <w:uiPriority w:val="30"/>
    <w:rPr>
      <w:i/>
    </w:rPr>
  </w:style>
  <w:style w:type="character" w:styleId="42">
    <w:name w:val="Header Char"/>
    <w:basedOn w:val="658"/>
    <w:link w:val="680"/>
    <w:uiPriority w:val="99"/>
  </w:style>
  <w:style w:type="character" w:styleId="46">
    <w:name w:val="Caption Char"/>
    <w:basedOn w:val="684"/>
    <w:link w:val="682"/>
    <w:uiPriority w:val="99"/>
  </w:style>
  <w:style w:type="character" w:styleId="175">
    <w:name w:val="Footnote Text Char"/>
    <w:link w:val="813"/>
    <w:uiPriority w:val="99"/>
    <w:rPr>
      <w:sz w:val="18"/>
    </w:rPr>
  </w:style>
  <w:style w:type="character" w:styleId="178">
    <w:name w:val="Endnote Text Char"/>
    <w:link w:val="816"/>
    <w:uiPriority w:val="99"/>
    <w:rPr>
      <w:sz w:val="20"/>
    </w:rPr>
  </w:style>
  <w:style w:type="paragraph" w:styleId="648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49">
    <w:name w:val="Heading 1"/>
    <w:basedOn w:val="648"/>
    <w:next w:val="64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0">
    <w:name w:val="Heading 2"/>
    <w:basedOn w:val="648"/>
    <w:next w:val="648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1">
    <w:name w:val="Heading 3"/>
    <w:basedOn w:val="648"/>
    <w:next w:val="648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2">
    <w:name w:val="Heading 4"/>
    <w:basedOn w:val="648"/>
    <w:next w:val="648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3">
    <w:name w:val="Heading 5"/>
    <w:basedOn w:val="648"/>
    <w:next w:val="648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648"/>
    <w:next w:val="648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55">
    <w:name w:val="Heading 7"/>
    <w:basedOn w:val="648"/>
    <w:next w:val="64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56">
    <w:name w:val="Heading 8"/>
    <w:basedOn w:val="648"/>
    <w:next w:val="648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57">
    <w:name w:val="Heading 9"/>
    <w:basedOn w:val="648"/>
    <w:next w:val="648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Заголовок 1 Знак"/>
    <w:link w:val="649"/>
    <w:uiPriority w:val="9"/>
    <w:rPr>
      <w:rFonts w:ascii="Arial" w:hAnsi="Arial" w:eastAsia="Arial" w:cs="Arial"/>
      <w:sz w:val="40"/>
      <w:szCs w:val="40"/>
    </w:rPr>
  </w:style>
  <w:style w:type="character" w:styleId="662" w:customStyle="1">
    <w:name w:val="Заголовок 2 Знак"/>
    <w:link w:val="650"/>
    <w:uiPriority w:val="9"/>
    <w:rPr>
      <w:rFonts w:ascii="Arial" w:hAnsi="Arial" w:eastAsia="Arial" w:cs="Arial"/>
      <w:sz w:val="34"/>
    </w:rPr>
  </w:style>
  <w:style w:type="character" w:styleId="663" w:customStyle="1">
    <w:name w:val="Заголовок 3 Знак"/>
    <w:link w:val="651"/>
    <w:uiPriority w:val="9"/>
    <w:rPr>
      <w:rFonts w:ascii="Arial" w:hAnsi="Arial" w:eastAsia="Arial" w:cs="Arial"/>
      <w:sz w:val="30"/>
      <w:szCs w:val="30"/>
    </w:rPr>
  </w:style>
  <w:style w:type="character" w:styleId="664" w:customStyle="1">
    <w:name w:val="Заголовок 4 Знак"/>
    <w:link w:val="652"/>
    <w:uiPriority w:val="9"/>
    <w:rPr>
      <w:rFonts w:ascii="Arial" w:hAnsi="Arial" w:eastAsia="Arial" w:cs="Arial"/>
      <w:b/>
      <w:bCs/>
      <w:sz w:val="26"/>
      <w:szCs w:val="26"/>
    </w:rPr>
  </w:style>
  <w:style w:type="character" w:styleId="665" w:customStyle="1">
    <w:name w:val="Заголовок 5 Знак"/>
    <w:link w:val="653"/>
    <w:uiPriority w:val="9"/>
    <w:rPr>
      <w:rFonts w:ascii="Arial" w:hAnsi="Arial" w:eastAsia="Arial" w:cs="Arial"/>
      <w:b/>
      <w:bCs/>
      <w:sz w:val="24"/>
      <w:szCs w:val="24"/>
    </w:rPr>
  </w:style>
  <w:style w:type="character" w:styleId="666" w:customStyle="1">
    <w:name w:val="Заголовок 6 Знак"/>
    <w:link w:val="654"/>
    <w:uiPriority w:val="9"/>
    <w:rPr>
      <w:rFonts w:ascii="Arial" w:hAnsi="Arial" w:eastAsia="Arial" w:cs="Arial"/>
      <w:b/>
      <w:bCs/>
      <w:sz w:val="22"/>
      <w:szCs w:val="22"/>
    </w:rPr>
  </w:style>
  <w:style w:type="character" w:styleId="667" w:customStyle="1">
    <w:name w:val="Заголовок 7 Знак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8" w:customStyle="1">
    <w:name w:val="Заголовок 8 Знак"/>
    <w:link w:val="656"/>
    <w:uiPriority w:val="9"/>
    <w:rPr>
      <w:rFonts w:ascii="Arial" w:hAnsi="Arial" w:eastAsia="Arial" w:cs="Arial"/>
      <w:i/>
      <w:iCs/>
      <w:sz w:val="22"/>
      <w:szCs w:val="22"/>
    </w:rPr>
  </w:style>
  <w:style w:type="character" w:styleId="669" w:customStyle="1">
    <w:name w:val="Заголовок 9 Знак"/>
    <w:link w:val="657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648"/>
    <w:uiPriority w:val="34"/>
    <w:qFormat/>
    <w:pPr>
      <w:contextualSpacing/>
      <w:ind w:left="720"/>
      <w:spacing w:after="200" w:line="276" w:lineRule="auto"/>
    </w:pPr>
  </w:style>
  <w:style w:type="paragraph" w:styleId="671">
    <w:name w:val="No Spacing"/>
    <w:uiPriority w:val="1"/>
    <w:qFormat/>
    <w:rPr>
      <w:lang w:eastAsia="zh-CN"/>
    </w:rPr>
  </w:style>
  <w:style w:type="paragraph" w:styleId="672">
    <w:name w:val="Title"/>
    <w:basedOn w:val="648"/>
    <w:next w:val="648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 w:customStyle="1">
    <w:name w:val="Заголовок Знак"/>
    <w:link w:val="672"/>
    <w:uiPriority w:val="10"/>
    <w:rPr>
      <w:sz w:val="48"/>
      <w:szCs w:val="48"/>
    </w:rPr>
  </w:style>
  <w:style w:type="paragraph" w:styleId="674">
    <w:name w:val="Subtitle"/>
    <w:basedOn w:val="648"/>
    <w:next w:val="648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 w:customStyle="1">
    <w:name w:val="Подзаголовок Знак"/>
    <w:link w:val="674"/>
    <w:uiPriority w:val="11"/>
    <w:rPr>
      <w:sz w:val="24"/>
      <w:szCs w:val="24"/>
    </w:rPr>
  </w:style>
  <w:style w:type="paragraph" w:styleId="676">
    <w:name w:val="Quote"/>
    <w:basedOn w:val="648"/>
    <w:next w:val="648"/>
    <w:link w:val="677"/>
    <w:uiPriority w:val="29"/>
    <w:qFormat/>
    <w:pPr>
      <w:ind w:left="720" w:right="720"/>
    </w:pPr>
    <w:rPr>
      <w:i/>
    </w:rPr>
  </w:style>
  <w:style w:type="character" w:styleId="677" w:customStyle="1">
    <w:name w:val="Цитата 2 Знак"/>
    <w:link w:val="676"/>
    <w:uiPriority w:val="29"/>
    <w:rPr>
      <w:i/>
    </w:rPr>
  </w:style>
  <w:style w:type="paragraph" w:styleId="678">
    <w:name w:val="Intense Quote"/>
    <w:basedOn w:val="648"/>
    <w:next w:val="648"/>
    <w:link w:val="6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 w:customStyle="1">
    <w:name w:val="Выделенная цитата Знак"/>
    <w:link w:val="678"/>
    <w:uiPriority w:val="30"/>
    <w:rPr>
      <w:i/>
    </w:rPr>
  </w:style>
  <w:style w:type="paragraph" w:styleId="680">
    <w:name w:val="Header"/>
    <w:basedOn w:val="648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Верхний колонтитул Знак"/>
    <w:link w:val="680"/>
    <w:uiPriority w:val="99"/>
  </w:style>
  <w:style w:type="paragraph" w:styleId="682">
    <w:name w:val="Footer"/>
    <w:basedOn w:val="648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 w:customStyle="1">
    <w:name w:val="Footer Char"/>
    <w:uiPriority w:val="99"/>
  </w:style>
  <w:style w:type="paragraph" w:styleId="684">
    <w:name w:val="Caption"/>
    <w:basedOn w:val="648"/>
    <w:next w:val="64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85" w:customStyle="1">
    <w:name w:val="Нижний колонтитул Знак"/>
    <w:link w:val="682"/>
    <w:uiPriority w:val="99"/>
  </w:style>
  <w:style w:type="table" w:styleId="686">
    <w:name w:val="Table Grid"/>
    <w:basedOn w:val="659"/>
    <w:uiPriority w:val="39"/>
    <w:tblPr/>
  </w:style>
  <w:style w:type="table" w:styleId="68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2">
    <w:name w:val="Hyperlink"/>
    <w:uiPriority w:val="99"/>
    <w:unhideWhenUsed/>
    <w:rPr>
      <w:color w:val="0000ff"/>
      <w:u w:val="single"/>
    </w:rPr>
  </w:style>
  <w:style w:type="paragraph" w:styleId="813">
    <w:name w:val="footnote text"/>
    <w:basedOn w:val="648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648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648"/>
    <w:next w:val="648"/>
    <w:uiPriority w:val="39"/>
    <w:unhideWhenUsed/>
    <w:pPr>
      <w:spacing w:after="57"/>
    </w:pPr>
  </w:style>
  <w:style w:type="paragraph" w:styleId="820">
    <w:name w:val="toc 2"/>
    <w:basedOn w:val="648"/>
    <w:next w:val="648"/>
    <w:uiPriority w:val="39"/>
    <w:unhideWhenUsed/>
    <w:pPr>
      <w:ind w:left="283"/>
      <w:spacing w:after="57"/>
    </w:pPr>
  </w:style>
  <w:style w:type="paragraph" w:styleId="821">
    <w:name w:val="toc 3"/>
    <w:basedOn w:val="648"/>
    <w:next w:val="648"/>
    <w:uiPriority w:val="39"/>
    <w:unhideWhenUsed/>
    <w:pPr>
      <w:ind w:left="567"/>
      <w:spacing w:after="57"/>
    </w:pPr>
  </w:style>
  <w:style w:type="paragraph" w:styleId="822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23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24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25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26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27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  <w:rPr>
      <w:lang w:eastAsia="zh-CN"/>
    </w:rPr>
  </w:style>
  <w:style w:type="paragraph" w:styleId="829">
    <w:name w:val="table of figures"/>
    <w:basedOn w:val="648"/>
    <w:next w:val="648"/>
    <w:uiPriority w:val="99"/>
    <w:unhideWhenUsed/>
    <w:pPr>
      <w:spacing w:after="0"/>
    </w:pPr>
  </w:style>
  <w:style w:type="paragraph" w:styleId="830">
    <w:name w:val="Balloon Text"/>
    <w:basedOn w:val="648"/>
    <w:link w:val="8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1" w:customStyle="1">
    <w:name w:val="Текст выноски Знак"/>
    <w:link w:val="830"/>
    <w:uiPriority w:val="99"/>
    <w:semiHidden/>
    <w:rPr>
      <w:rFonts w:ascii="Segoe UI" w:hAnsi="Segoe UI" w:cs="Segoe UI"/>
      <w:sz w:val="18"/>
      <w:szCs w:val="18"/>
    </w:rPr>
  </w:style>
  <w:style w:type="paragraph" w:styleId="1_633" w:customStyle="1">
    <w:name w:val="ConsPlusNormal"/>
    <w:link w:val="85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31</cp:revision>
  <dcterms:created xsi:type="dcterms:W3CDTF">2023-01-20T07:36:00Z</dcterms:created>
  <dcterms:modified xsi:type="dcterms:W3CDTF">2024-09-27T12:30:21Z</dcterms:modified>
  <cp:version>1048576</cp:version>
</cp:coreProperties>
</file>