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1.1. Орган-разработчик (инициатор проек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 постановления Прави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тельства Белгородской области): Государственная инспекция по надзору за техническим состоянием самоходных машин и других видов техники Белгородской области </w:t>
        <w:br/>
        <w:t xml:space="preserve">с соответствующими государственными инспекциями городов и районов (далее – инспекция гостехнадзора)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«О внесении изменений </w:t>
        <w:br/>
        <w:t xml:space="preserve">в постановление Правительства Белгородской области от 17 июля 2023 года № 390-пп»  (далее – проект постановления).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с «24 декабря 2024 года по «15»января 2025 года.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1.4. Степень регулирующего воздействия проекта нормативного правового акта: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средняя.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Проектом постановления предлагается расширить перечень профилактических мероприятий, проводимых в рамках осуществления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регионального государственного контроля (надзора) в области технического состояния и эксплуатации аттракционов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в частности 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водятся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такие виды профилактических мероприятий, как меры стимулирования добросовестности </w:t>
        <w:br/>
        <w:t xml:space="preserve">и само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обследование.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r>
      <w:r/>
    </w:p>
    <w:p>
      <w:pPr>
        <w:pStyle w:val="831"/>
        <w:ind w:firstLine="708"/>
        <w:jc w:val="both"/>
        <w:spacing w:after="0" w:afterAutospacing="0"/>
        <w:rPr>
          <w:rFonts w:ascii="Times New Roman" w:hAnsi="Times New Roman" w:eastAsia="PT Astra Serif" w:cs="Times New Roman"/>
          <w:sz w:val="28"/>
          <w:szCs w:val="28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Введение данных видов профилактических мероприятий расширит возможности контролируемых лиц, снизит административну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ю нагрузку на них </w:t>
        <w:br/>
        <w:t xml:space="preserve">со стороны инспекции гостехнадзора области, а также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увеличит шанс получения нематериального поощрения со стороны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инспекции гостехнадзора области</w:t>
      </w:r>
      <w:r>
        <w:rPr>
          <w:rFonts w:ascii="Times New Roman" w:hAnsi="Times New Roman" w:eastAsia="PT Astra Serif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PT Astra Serif" w:cs="Times New Roman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Ф.И.О.: Михайлова Ольга Владимировна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Должность: начальник отдела регионального государственного надзора – заместитель главного государственного инженера-инспектора области </w:t>
        <w:br/>
        <w:t xml:space="preserve">по государственному надзору за техническим состоянием самоходных машин и других видов техники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Тел.: (4722) 33-67-28. Адрес электронной почты: </w:t>
      </w:r>
      <w:hyperlink r:id="rId8" w:tooltip="mailto:belkin_an@belregion.ru" w:history="1">
        <w:r>
          <w:rPr>
            <w:rStyle w:val="813"/>
            <w:rFonts w:ascii="Times New Roman" w:hAnsi="Times New Roman" w:eastAsia="PT Astra Serif" w:cs="Times New Roman"/>
            <w:sz w:val="26"/>
            <w:szCs w:val="26"/>
          </w:rPr>
          <w:t xml:space="preserve">mikhaylova_ov@belregion.ru</w:t>
        </w:r>
      </w:hyperlink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spacing w:after="0" w:afterAutospacing="0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Добровольное определение контролируемыми лицами уровня соблюдения обязательных требований и мотивация контролируемых лиц к соблюдению обязательных требований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2.2. 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Информация о возникновении и выявлении проблемы: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согласно части 2 статьи 48 и части 3 статьи 51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Федерального закона от 31 июля 2020 года </w:t>
        <w:br/>
        <w:t xml:space="preserve">№ 248-ФЗ «О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порядок оценки добросовестности контролируемых лиц, а также принятие декларации соблюдения обязательных требований должны быть предусмотрены положением о надзоре.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Негативные эффекты для юридических лиц и индивидуальных предпринимателей  отсутствуют.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в настоящее время аналогичные виды профилактических мероприятий применяются в г. Москве и г. Санкт-Петербурге.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 Цели вводимого правового регулирования и измеримые показатели их достижения: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3.1. Описание целей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расширение перечня профилактических мероприятий, проводимых в рамках осуществления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регионального государственного контроля (надзора) в области технического состояния и эксплуатации аттракционов</w:t>
      </w:r>
      <w: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проект нормативного правового акта разработан в соответствии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  <w:br/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требованиями Федерального закона от 31 июля 2020 года № 248-ФЗ </w:t>
        <w:br/>
        <w:t xml:space="preserve">«О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декабрь 2025 г.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3.4.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отсутствует.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 Описание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4.1. 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роектом 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расширяется перечень профилактических мероприятий. 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highlight w:val="none"/>
        </w:rPr>
        <w:t xml:space="preserve">В частности в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водятся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такие виды профилактических мероприятий, как меры стимулирования добросовестности и самообследование.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Мера стимулирования добросовестности – вид нематериального поощрения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добросовестного контролируемого лица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с целью мотивации контролируемого лица к соблюдению обязательных  требований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к безопасной эксплуатации аттракционов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Положение о нематериальном поощрении контролируемых лиц,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добросовестно соблюдающих зако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нодательство в сфере безопасной эксплуатации аттракционов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утвер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ждается правовым актом инспекции.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Под самообследованием понимается комплекс мероприятий, который контролируемое лицо будет проводить самостоятельно в целях добровольного определения соблюдения им обязательных требований. Самообследование предполагает заполнение контролируемым лицом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перечня вопросов</w:t>
      </w:r>
      <w:r>
        <w:rPr>
          <w:rFonts w:ascii="Times New Roman" w:hAnsi="Times New Roman" w:eastAsia="PT Astra Serif" w:cs="Times New Roman"/>
          <w:sz w:val="26"/>
          <w:szCs w:val="26"/>
          <w:lang w:val="ru-RU" w:eastAsia="ru-RU" w:bidi="ru-RU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</w:rPr>
        <w:br/>
        <w:t xml:space="preserve">с последующим составлением декларации соблюдения обязательных требований. Методика проведения самообследования утверждается правовым актом инспекции гостехнадзора области. 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white"/>
        </w:rPr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4.2. Альтернативные варианты решения проблемы: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 качестве альтернативного варианта проведения самообследования мо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жно применить комиссионное очное обследование соблюдения обязательных требований эксплуатантом (владельцем аттракциона). Но данная мера не соответствует общей идее внедрения в контрольно-надзорную деятельность дистанционных способов  осуществления надзора.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Альтернатива мере стимулирования добросовестности отсутствует. Предлагаемая к введению мера нематериального поощрения позволит повысить мотивацию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контролируемого лица к соблюдению обязательных требований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 техническому состоянию и безопасной эксплуатации аттракционов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способ продиктован действующим законодательством Российской Федерации, а именно требованиями Федерального закона от 31 июля 2020 года </w:t>
        <w:br/>
        <w:t xml:space="preserve">№ 248-ФЗ «О государственном контроле (надзоре) и муниципальном контроле</w:t>
        <w:br/>
        <w:t xml:space="preserve">в Российской Федерации».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Предпочтительным вариантом решения проблемы инспекция гостехнадзора считает утверждение проекта постановления нормативного правового акта.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Указанный вариант позволит сформировать эффективную систему регионального государственного контроля (надзора) на этапе проведения профилактических мероприятий, расширит возможности контролируемых лиц </w:t>
        <w:br/>
        <w:t xml:space="preserve">по принятию ими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декларации соблюдения обязательных требований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а также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возможности рассчитывать на меры нематериального поощрения со стороны инспекции гостехнадзора области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 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 лица, их руководители и иные должностные лица, индивидуальные предприниматели, их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уполномоченные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представители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являющиеся собственниками, пользователями аттракционов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Количество объектов на территории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128 ед.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8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3543"/>
        <w:gridCol w:w="357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 лица, их руководители и иные должностные лица, индивидуальные предприниматели, их уполномоченные представители являющиеся собственниками, пользователями аттракционов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Преимущества: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- возможность принять декларацию соблюдения обязательных требований,  претендовать на нематериальное поощрение со стороны инспекции гостехнадзора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Обязанности: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- предоставление в инспекцию гостехнадзора необходимых документов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Общая стоимость требования по предоставлению документов, необходимых для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одготовки и подачи в инспекцию гостехнадзора области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контролируемым лицом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декларации соблюдения обязательных требований </w:t>
              <w:br/>
              <w:t xml:space="preserve">с приложением заполненного перечня вопросов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  <w:t xml:space="preserve">86 465,28 </w:t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руб.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>
        <w:trPr>
          <w:trHeight w:val="1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Инспекция гостехнадзора Белгородской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Региональный государственный надзор будет осуществляться управлением в рамках установленных полномочий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Дополнительные трудозатраты не потребуются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402"/>
        <w:gridCol w:w="3260"/>
      </w:tblGrid>
      <w:tr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Инспекция гостехнадзора Белгородской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ab/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проект нормативного правового акта не содержит обязательных требований.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Нежелание контролируемых лиц принимать декларацию соблюдения обязательных требований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Информирование Консультирование Осуществление регионального государственного контроля (надзора) инспекцией гостехнадзора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vMerge w:val="restart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Низкая заинтересованность контролируемых лиц в нематериальном поощрении со стороны инспекции гостехнадзора области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Информирование Консультирование Осуществление регионального государственного контроля (надзора) инспекцией гостехнадзора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1415"/>
        <w:gridCol w:w="2129"/>
        <w:gridCol w:w="1276"/>
        <w:gridCol w:w="13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Объем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Источники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</w:tr>
      <w:tr>
        <w:trPr>
          <w:trHeight w:val="1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none"/>
              </w:rPr>
              <w:t xml:space="preserve">Доведение до контролируемых лиц информации о принимаемых новых видах профилактических мероприятий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апрель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r>
            <w:r/>
          </w:p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2025 года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Осведомленность контролируемых лиц о порядке осуществления вводимых мероприятий 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Консультирование (разъяснение по вопросам, связанным с принятием декларации соблюдения обязательных требований и нематериальному поощрению добросовестных контролируемых лиц)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по мере необходимости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7. Ожидаемые измеримые результаты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558"/>
        <w:gridCol w:w="2533"/>
        <w:gridCol w:w="2496"/>
      </w:tblGrid>
      <w:tr>
        <w:trPr>
          <w:trHeight w:val="18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Снижение количества  выявленных нарушений обязательных требований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в области технического состояния и эксплуатации аттракционов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Снижение количества выявленных нарушений обязательных требований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в области технического состояния и эксплуатации аттракционов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ru-RU"/>
              </w:rPr>
              <w:t xml:space="preserve">не менее чем на 50 %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Анализ количества выявленных нарушений обязательных требований за истекший период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(1 год)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8. Предполагаемая дата вступления в силу проекта нормативного правового акта: 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апрель 2025 года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1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3"/>
    <w:uiPriority w:val="10"/>
    <w:rPr>
      <w:sz w:val="48"/>
      <w:szCs w:val="48"/>
    </w:rPr>
  </w:style>
  <w:style w:type="character" w:styleId="644">
    <w:name w:val="Subtitle Char"/>
    <w:basedOn w:val="661"/>
    <w:link w:val="675"/>
    <w:uiPriority w:val="11"/>
    <w:rPr>
      <w:sz w:val="24"/>
      <w:szCs w:val="24"/>
    </w:rPr>
  </w:style>
  <w:style w:type="character" w:styleId="645">
    <w:name w:val="Quote Char"/>
    <w:link w:val="677"/>
    <w:uiPriority w:val="29"/>
    <w:rPr>
      <w:i/>
    </w:rPr>
  </w:style>
  <w:style w:type="character" w:styleId="646">
    <w:name w:val="Intense Quote Char"/>
    <w:link w:val="679"/>
    <w:uiPriority w:val="30"/>
    <w:rPr>
      <w:i/>
    </w:rPr>
  </w:style>
  <w:style w:type="character" w:styleId="647">
    <w:name w:val="Header Char"/>
    <w:basedOn w:val="661"/>
    <w:link w:val="681"/>
    <w:uiPriority w:val="99"/>
  </w:style>
  <w:style w:type="character" w:styleId="648">
    <w:name w:val="Caption Char"/>
    <w:basedOn w:val="685"/>
    <w:link w:val="683"/>
    <w:uiPriority w:val="99"/>
  </w:style>
  <w:style w:type="character" w:styleId="649">
    <w:name w:val="Footnote Text Char"/>
    <w:link w:val="814"/>
    <w:uiPriority w:val="99"/>
    <w:rPr>
      <w:sz w:val="18"/>
    </w:rPr>
  </w:style>
  <w:style w:type="character" w:styleId="650">
    <w:name w:val="Endnote Text Char"/>
    <w:link w:val="817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651"/>
    <w:next w:val="651"/>
    <w:link w:val="674"/>
    <w:uiPriority w:val="10"/>
    <w:qFormat/>
    <w:pPr>
      <w:contextualSpacing/>
      <w:spacing w:before="300"/>
    </w:pPr>
    <w:rPr>
      <w:sz w:val="48"/>
      <w:szCs w:val="48"/>
    </w:rPr>
  </w:style>
  <w:style w:type="character" w:styleId="674" w:customStyle="1">
    <w:name w:val="Заголовок Знак"/>
    <w:link w:val="673"/>
    <w:uiPriority w:val="10"/>
    <w:rPr>
      <w:sz w:val="48"/>
      <w:szCs w:val="48"/>
    </w:rPr>
  </w:style>
  <w:style w:type="paragraph" w:styleId="675">
    <w:name w:val="Subtitle"/>
    <w:basedOn w:val="651"/>
    <w:next w:val="651"/>
    <w:link w:val="676"/>
    <w:uiPriority w:val="11"/>
    <w:qFormat/>
    <w:pPr>
      <w:spacing w:before="200"/>
    </w:pPr>
    <w:rPr>
      <w:sz w:val="24"/>
      <w:szCs w:val="24"/>
    </w:rPr>
  </w:style>
  <w:style w:type="character" w:styleId="676" w:customStyle="1">
    <w:name w:val="Подзаголовок Знак"/>
    <w:link w:val="675"/>
    <w:uiPriority w:val="11"/>
    <w:rPr>
      <w:sz w:val="24"/>
      <w:szCs w:val="24"/>
    </w:rPr>
  </w:style>
  <w:style w:type="paragraph" w:styleId="677">
    <w:name w:val="Quote"/>
    <w:basedOn w:val="651"/>
    <w:next w:val="651"/>
    <w:link w:val="678"/>
    <w:uiPriority w:val="29"/>
    <w:qFormat/>
    <w:pPr>
      <w:ind w:left="720" w:right="720"/>
    </w:pPr>
    <w:rPr>
      <w:i/>
    </w:rPr>
  </w:style>
  <w:style w:type="character" w:styleId="678" w:customStyle="1">
    <w:name w:val="Цитата 2 Знак"/>
    <w:link w:val="677"/>
    <w:uiPriority w:val="29"/>
    <w:rPr>
      <w:i/>
    </w:rPr>
  </w:style>
  <w:style w:type="paragraph" w:styleId="679">
    <w:name w:val="Intense Quote"/>
    <w:basedOn w:val="651"/>
    <w:next w:val="651"/>
    <w:link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 w:customStyle="1">
    <w:name w:val="Выделенная цитата Знак"/>
    <w:link w:val="679"/>
    <w:uiPriority w:val="30"/>
    <w:rPr>
      <w:i/>
    </w:rPr>
  </w:style>
  <w:style w:type="paragraph" w:styleId="681">
    <w:name w:val="Header"/>
    <w:basedOn w:val="65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 w:customStyle="1">
    <w:name w:val="Верхний колонтитул Знак"/>
    <w:link w:val="681"/>
    <w:uiPriority w:val="99"/>
  </w:style>
  <w:style w:type="paragraph" w:styleId="683">
    <w:name w:val="Footer"/>
    <w:basedOn w:val="65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Footer Char"/>
    <w:uiPriority w:val="99"/>
  </w:style>
  <w:style w:type="paragraph" w:styleId="685">
    <w:name w:val="Caption"/>
    <w:basedOn w:val="651"/>
    <w:next w:val="65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6" w:customStyle="1">
    <w:name w:val="Нижний колонтитул Знак"/>
    <w:link w:val="683"/>
    <w:uiPriority w:val="99"/>
  </w:style>
  <w:style w:type="table" w:styleId="687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7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8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9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0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1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1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2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3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4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5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0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2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4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4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5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6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7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8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9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8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9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0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1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2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563c1" w:themeColor="hyperlink"/>
      <w:u w:val="single"/>
    </w:rPr>
  </w:style>
  <w:style w:type="paragraph" w:styleId="814">
    <w:name w:val="footnote text"/>
    <w:basedOn w:val="65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65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651"/>
    <w:next w:val="651"/>
    <w:uiPriority w:val="39"/>
    <w:unhideWhenUsed/>
    <w:pPr>
      <w:spacing w:after="57"/>
    </w:pPr>
  </w:style>
  <w:style w:type="paragraph" w:styleId="821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2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3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4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5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6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7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8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1"/>
    <w:next w:val="651"/>
    <w:uiPriority w:val="99"/>
    <w:unhideWhenUsed/>
    <w:pPr>
      <w:spacing w:after="0"/>
    </w:pPr>
  </w:style>
  <w:style w:type="paragraph" w:styleId="831">
    <w:name w:val="No Spacing"/>
    <w:basedOn w:val="651"/>
    <w:uiPriority w:val="1"/>
    <w:qFormat/>
    <w:pPr>
      <w:spacing w:after="0" w:line="240" w:lineRule="auto"/>
    </w:pPr>
  </w:style>
  <w:style w:type="paragraph" w:styleId="832">
    <w:name w:val="List Paragraph"/>
    <w:basedOn w:val="651"/>
    <w:uiPriority w:val="34"/>
    <w:qFormat/>
    <w:pPr>
      <w:contextualSpacing/>
      <w:ind w:left="720"/>
    </w:pPr>
  </w:style>
  <w:style w:type="paragraph" w:styleId="833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834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belkin_an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created xsi:type="dcterms:W3CDTF">2023-04-05T10:42:00Z</dcterms:created>
  <dcterms:modified xsi:type="dcterms:W3CDTF">2024-12-24T12:13:21Z</dcterms:modified>
</cp:coreProperties>
</file>