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Ра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счет стандартных издержек заявителя на подготовку заявления и пакета документов, необходимого для получения государственной услуги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утверждению (изменению) границ охранных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 зон газопроводов и наложения обременений на земельные участк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 о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и,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sz w:val="26"/>
          <w:szCs w:val="26"/>
        </w:rPr>
        <w:t xml:space="preserve">через единый портал государственных услуг</w:t>
      </w:r>
      <w:r>
        <w:rPr>
          <w:rFonts w:hint="default" w:ascii="Times New Roman" w:hAnsi="Times New Roman" w:eastAsia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hint="default" w:ascii="Times New Roman" w:hAnsi="Times New Roman" w:cs="Times New Roman"/>
          <w:b/>
          <w:bCs w:val="0"/>
          <w:i w:val="0"/>
          <w:sz w:val="26"/>
          <w:szCs w:val="26"/>
          <w:u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u w:val="none"/>
        </w:rPr>
      </w:r>
      <w:r/>
    </w:p>
    <w:p>
      <w:pPr>
        <w:pStyle w:val="715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b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none"/>
          <w:lang w:eastAsia="ru-RU"/>
        </w:rPr>
        <w:t xml:space="preserve">Название требования: </w:t>
      </w:r>
      <w:r>
        <w:rPr>
          <w:rFonts w:ascii="Times New Roman" w:hAnsi="Times New Roman" w:cs="Times New Roman"/>
          <w:b/>
          <w:i w:val="0"/>
          <w:iCs w:val="0"/>
          <w:sz w:val="26"/>
          <w:szCs w:val="26"/>
          <w:u w:val="none"/>
        </w:rPr>
      </w:r>
      <w:r/>
    </w:p>
    <w:p>
      <w:pPr>
        <w:ind w:left="-142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b w:val="0"/>
          <w:bCs w:val="0"/>
          <w:i w:val="0"/>
          <w:color w:val="000000"/>
          <w:sz w:val="26"/>
          <w:szCs w:val="26"/>
          <w:u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  <w:shd w:val="clear" w:color="auto" w:fill="ffffff"/>
        </w:rPr>
        <w:t xml:space="preserve">Направить заявление и пакет документов для получения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u w:val="none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утверждению (изменению) границ охранных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 зон газопроводов и наложения обременений на земельные участк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u w:val="none"/>
        </w:rPr>
        <w:t xml:space="preserve">через единый портал государственных услуг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  <w:shd w:val="clear" w:color="auto" w:fill="ffffff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b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none"/>
        </w:rPr>
      </w:r>
      <w:r>
        <w:rPr>
          <w:rFonts w:ascii="Times New Roman" w:hAnsi="Times New Roman" w:cs="Times New Roman"/>
          <w:b/>
          <w:i w:val="0"/>
          <w:iCs w:val="0"/>
          <w:sz w:val="26"/>
          <w:szCs w:val="26"/>
          <w:u w:val="none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b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none"/>
          <w:lang w:eastAsia="ru-RU"/>
        </w:rPr>
        <w:t xml:space="preserve">Условие возникновения требования:</w:t>
      </w:r>
      <w:r>
        <w:rPr>
          <w:rFonts w:ascii="Times New Roman" w:hAnsi="Times New Roman" w:cs="Times New Roman"/>
          <w:b/>
          <w:i w:val="0"/>
          <w:iCs w:val="0"/>
          <w:sz w:val="26"/>
          <w:szCs w:val="26"/>
          <w:u w:val="none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</w:rPr>
        <w:t xml:space="preserve">Обращение в министерство имущественных и земельных отношений Белгородской области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none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  <w:u w:val="none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hint="default" w:ascii="Times New Roman" w:hAnsi="Times New Roman" w:cs="Times New Roman"/>
          <w:i w:val="0"/>
          <w:iCs w:val="0"/>
          <w:sz w:val="26"/>
          <w:szCs w:val="26"/>
          <w:u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none"/>
          <w:lang w:eastAsia="ru-RU"/>
        </w:rPr>
        <w:t xml:space="preserve">Тип требования: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  <w:shd w:val="clear" w:color="auto" w:fill="ffffff"/>
        </w:rPr>
        <w:t xml:space="preserve">Подготовка и представление заявления и пакета документов 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u w:val="none"/>
          <w:shd w:val="clear" w:color="auto" w:fill="ffffff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u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i w:val="0"/>
          <w:iCs w:val="0"/>
          <w:sz w:val="26"/>
          <w:szCs w:val="26"/>
          <w:u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u w:val="none"/>
          <w:lang w:eastAsia="ru-RU"/>
        </w:rPr>
        <w:t xml:space="preserve">Масштаб: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  <w:shd w:val="clear" w:color="auto" w:fill="ffffff"/>
        </w:rPr>
        <w:t xml:space="preserve">Участников – 30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  <w:shd w:val="clear" w:color="auto" w:fill="ffffff"/>
        </w:rPr>
        <w:t xml:space="preserve">ед.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none"/>
          <w:shd w:val="clear" w:color="auto" w:fill="ffffff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i w:val="0"/>
          <w:iCs w:val="0"/>
          <w:sz w:val="26"/>
          <w:szCs w:val="26"/>
          <w:u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none"/>
          <w:shd w:val="clear" w:color="auto" w:fill="ffffff"/>
        </w:rPr>
      </w:r>
      <w:r>
        <w:rPr>
          <w:rFonts w:ascii="Times New Roman" w:hAnsi="Times New Roman" w:cs="Times New Roman"/>
          <w:b/>
          <w:i w:val="0"/>
          <w:iCs w:val="0"/>
          <w:sz w:val="26"/>
          <w:szCs w:val="26"/>
          <w:u w:val="none"/>
          <w:shd w:val="clear" w:color="auto" w:fill="ffffff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6"/>
          <w:szCs w:val="26"/>
          <w:u w:val="none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none"/>
          <w:shd w:val="clear" w:color="auto" w:fill="ffffff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none"/>
          <w:shd w:val="clear" w:color="auto" w:fill="ffffff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u w:val="none"/>
          <w:shd w:val="clear" w:color="auto" w:fill="ffffff"/>
        </w:rPr>
        <w:t xml:space="preserve">74 750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  <w:shd w:val="clear" w:color="auto" w:fill="ffffff"/>
        </w:rPr>
        <w:t xml:space="preserve"> руб.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none"/>
          <w:shd w:val="clear" w:color="auto" w:fill="ffffff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none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u w:val="none"/>
          <w:shd w:val="clear" w:color="auto" w:fill="ffffff"/>
        </w:rPr>
        <w:t xml:space="preserve">424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u w:val="none"/>
          <w:shd w:val="clear" w:color="auto" w:fill="ffffff"/>
        </w:rPr>
        <w:t xml:space="preserve">,7</w:t>
      </w:r>
      <w:r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  <w:u w:val="none"/>
          <w:shd w:val="clear" w:color="auto" w:fill="ffffff"/>
          <w:lang w:val="ru-RU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  <w:shd w:val="clear" w:color="auto" w:fill="ffffff"/>
        </w:rPr>
        <w:t xml:space="preserve"> руб.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none"/>
          <w:lang w:eastAsia="ru-RU"/>
        </w:rPr>
        <w:t xml:space="preserve">(74 750/22 рабочих дня/8 рабочих часов)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none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Style w:val="647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67"/>
        <w:gridCol w:w="536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Cs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u w:val="single"/>
                <w:lang w:eastAsia="ru-RU"/>
              </w:rPr>
              <w:t xml:space="preserve">Подготовка заявления и пакета документов на бумажном носителе для получения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 xml:space="preserve">государственной услуги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утверждению (изменению) границ охранных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зон газопроводов и наложения обременений на земельные участк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single"/>
              </w:rPr>
              <w:t xml:space="preserve">(текущее регулирование)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u w:val="single"/>
                <w:lang w:eastAsia="ru-RU"/>
              </w:rPr>
              <w:t xml:space="preserve">Подготовка заявления и пакета документов а электронном виде для получения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 xml:space="preserve">государственной услуги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утверждению (изменению) границ охранных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зон газопроводов и наложения обременений на земельные участк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u w:val="single"/>
              </w:rPr>
              <w:t xml:space="preserve">я в министерство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u w:val="single"/>
              </w:rPr>
              <w:t xml:space="preserve">через единый портал государственных услуг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highlight w:val="none"/>
                <w:u w:val="single"/>
              </w:rPr>
              <w:t xml:space="preserve">(предлагаемое регулирование)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highlight w:val="none"/>
                <w:u w:val="singl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Подготовка заявления на бумажном носителе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- 1,0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чел./час.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 Подготовка копии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документа, подтверждающего полномочия представителя заявителя действовать от имени заявителя (в случае обращения представителя заявителя)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- 0,5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чел./час.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Подготовка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ведений о границах охранной зоны газораспределительных сетей, содержащие текстовое и графическое описания местоположения границ такой зоны, перечень координат характерных точек этих границ в системе координат, установленной для ведения государственного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адастра недвижимости, в том числе в виде электронного документа в формате XML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- 40 чел./час.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Подготовка копии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правоустанавливающих документов (при отсутствии сведений о зарегистрированных правах в ЕГРН), подтверждающих права заявителя на объект газораспределительной сети, границы охранной зоны которого подлежат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 утверждению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 (изменению)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 - 1 чел./ час.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 Личное обращение в министерство имущественных и земельных отношений Белгородской области  - 3 чел./ час.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6.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одготовка дополнительных материалов 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4 чел/час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Подготовка заявления в электронном виде по установленной форме - 0,5 чел./час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Сканирование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документа, подтверждающего полномочия представителя заявителя действовать от имени заявителя (в случае обращения представителя заявителя)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 - 0,5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чел./час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Подготовка электронной версии све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дений о границах охранной зоны газораспределительных сетей, содержащие текстовое и графическое описания местоположения границ такой зоны, перечень координат характерных точек этих границ в системе координат, установленной для ведения государственного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адастра недвижимости, в том числе в виде электронного документа в формате XML - 38 чел./час.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highlight w:val="none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Сканирование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документа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 xml:space="preserve"> (проектной документации) содержащего в том числе наименование объекта, в отношении которого устанавливается охранная зона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чел./час.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5. Загрузка документов и направление заполненного заявления и документов через единый портал государственных услуг -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0,5 чел./час.</w:t>
            </w:r>
            <w:r/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Итого трудозатрат: 49,5 чел/часов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Итого трудозатрат: 40,0 чел/часов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Общая стоимость требования: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en-US" w:eastAsia="ru-RU"/>
              </w:rPr>
              <w:t xml:space="preserve">49,5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 чел/час*4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en-US" w:eastAsia="ru-RU"/>
              </w:rPr>
              <w:t xml:space="preserve">24,72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руб.*30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 ед.=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en-US" w:eastAsia="ru-RU"/>
              </w:rPr>
              <w:t xml:space="preserve">630,7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 тыс. руб.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Общая стоимость требования: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en-US" w:eastAsia="ru-RU"/>
              </w:rPr>
              <w:t xml:space="preserve">40,0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 чел/час*4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en-US" w:eastAsia="ru-RU"/>
              </w:rPr>
              <w:t xml:space="preserve">24,72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руб.*30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 ед.= 509,66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тыс. руб.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6953" w:leader="none"/>
        </w:tabs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В случае внесения изменений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в Порядок утверждения (изменения) границ охранных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зон газопроводов и наложения обременений на земельные участки на территории Белгородской области, установленный Постановлением Правительства Белгородской области </w:t>
        <w:br/>
        <w:t xml:space="preserve">от 18.08.2014 г.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№ 311-пп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дополнения перечня документов, которые прилагаются к заявлению,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способов подачи заявления  общий объем  экономии бюджета заявителей составит 121,04 тыс.рублей.(630,7 тыс. руб.- 509,66 тыс.руб.). </w:t>
      </w:r>
      <w:r>
        <w:rPr>
          <w:rFonts w:ascii="Times New Roman" w:hAnsi="Times New Roman"/>
          <w:sz w:val="26"/>
          <w:szCs w:val="26"/>
          <w:highlight w:val="none"/>
        </w:rPr>
        <w:tab/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space"/>
      <w:lvlText w:val="%1."/>
      <w:lvlJc w:val="left"/>
      <w:pPr/>
      <w:rPr>
        <w:rFonts w:hint="default"/>
        <w:b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uiPriority w:val="0"/>
    <w:qFormat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37">
    <w:name w:val="Heading 1"/>
    <w:basedOn w:val="636"/>
    <w:next w:val="636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  <w:qFormat/>
  </w:style>
  <w:style w:type="table" w:styleId="6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8">
    <w:name w:val="footnote reference"/>
    <w:uiPriority w:val="99"/>
    <w:unhideWhenUsed/>
    <w:qFormat/>
    <w:rPr>
      <w:vertAlign w:val="superscript"/>
    </w:rPr>
  </w:style>
  <w:style w:type="character" w:styleId="649">
    <w:name w:val="endnote reference"/>
    <w:uiPriority w:val="99"/>
    <w:semiHidden/>
    <w:unhideWhenUsed/>
    <w:qFormat/>
    <w:rPr>
      <w:vertAlign w:val="superscript"/>
    </w:rPr>
  </w:style>
  <w:style w:type="character" w:styleId="650">
    <w:name w:val="Hyperlink"/>
    <w:uiPriority w:val="99"/>
    <w:unhideWhenUsed/>
    <w:qFormat/>
    <w:rPr>
      <w:color w:val="0000ff"/>
      <w:u w:val="single"/>
    </w:rPr>
  </w:style>
  <w:style w:type="paragraph" w:styleId="651">
    <w:name w:val="Balloon Text"/>
    <w:basedOn w:val="636"/>
    <w:link w:val="85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2">
    <w:name w:val="endnote text"/>
    <w:basedOn w:val="636"/>
    <w:link w:val="852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3">
    <w:name w:val="Caption"/>
    <w:basedOn w:val="636"/>
    <w:next w:val="636"/>
    <w:link w:val="68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54">
    <w:name w:val="footnote text"/>
    <w:basedOn w:val="636"/>
    <w:link w:val="851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5">
    <w:name w:val="toc 8"/>
    <w:basedOn w:val="636"/>
    <w:next w:val="636"/>
    <w:uiPriority w:val="39"/>
    <w:unhideWhenUsed/>
    <w:qFormat/>
    <w:pPr>
      <w:ind w:left="1984"/>
      <w:spacing w:after="57"/>
    </w:pPr>
  </w:style>
  <w:style w:type="paragraph" w:styleId="656">
    <w:name w:val="Header"/>
    <w:basedOn w:val="636"/>
    <w:link w:val="723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7">
    <w:name w:val="toc 9"/>
    <w:basedOn w:val="636"/>
    <w:next w:val="636"/>
    <w:uiPriority w:val="39"/>
    <w:unhideWhenUsed/>
    <w:qFormat/>
    <w:pPr>
      <w:ind w:left="2268"/>
      <w:spacing w:after="57"/>
    </w:pPr>
  </w:style>
  <w:style w:type="paragraph" w:styleId="658">
    <w:name w:val="toc 7"/>
    <w:basedOn w:val="636"/>
    <w:next w:val="636"/>
    <w:uiPriority w:val="39"/>
    <w:unhideWhenUsed/>
    <w:qFormat/>
    <w:pPr>
      <w:ind w:left="1701"/>
      <w:spacing w:after="57"/>
    </w:pPr>
  </w:style>
  <w:style w:type="paragraph" w:styleId="659">
    <w:name w:val="toc 1"/>
    <w:basedOn w:val="636"/>
    <w:next w:val="636"/>
    <w:uiPriority w:val="39"/>
    <w:unhideWhenUsed/>
    <w:qFormat/>
    <w:pPr>
      <w:spacing w:after="57"/>
    </w:pPr>
  </w:style>
  <w:style w:type="paragraph" w:styleId="660">
    <w:name w:val="toc 6"/>
    <w:basedOn w:val="636"/>
    <w:next w:val="636"/>
    <w:uiPriority w:val="39"/>
    <w:unhideWhenUsed/>
    <w:qFormat/>
    <w:pPr>
      <w:ind w:left="1417"/>
      <w:spacing w:after="57"/>
    </w:pPr>
  </w:style>
  <w:style w:type="paragraph" w:styleId="661">
    <w:name w:val="table of figures"/>
    <w:basedOn w:val="636"/>
    <w:next w:val="636"/>
    <w:uiPriority w:val="99"/>
    <w:unhideWhenUsed/>
    <w:qFormat/>
    <w:pPr>
      <w:spacing w:after="0"/>
    </w:pPr>
  </w:style>
  <w:style w:type="paragraph" w:styleId="662">
    <w:name w:val="toc 3"/>
    <w:basedOn w:val="636"/>
    <w:next w:val="636"/>
    <w:uiPriority w:val="39"/>
    <w:unhideWhenUsed/>
    <w:qFormat/>
    <w:pPr>
      <w:ind w:left="567"/>
      <w:spacing w:after="57"/>
    </w:pPr>
  </w:style>
  <w:style w:type="paragraph" w:styleId="663">
    <w:name w:val="toc 2"/>
    <w:basedOn w:val="636"/>
    <w:next w:val="636"/>
    <w:uiPriority w:val="39"/>
    <w:unhideWhenUsed/>
    <w:qFormat/>
    <w:pPr>
      <w:ind w:left="283"/>
      <w:spacing w:after="57"/>
    </w:pPr>
  </w:style>
  <w:style w:type="paragraph" w:styleId="664">
    <w:name w:val="toc 4"/>
    <w:basedOn w:val="636"/>
    <w:next w:val="636"/>
    <w:uiPriority w:val="39"/>
    <w:unhideWhenUsed/>
    <w:qFormat/>
    <w:pPr>
      <w:ind w:left="850"/>
      <w:spacing w:after="57"/>
    </w:pPr>
  </w:style>
  <w:style w:type="paragraph" w:styleId="665">
    <w:name w:val="toc 5"/>
    <w:basedOn w:val="636"/>
    <w:next w:val="636"/>
    <w:uiPriority w:val="39"/>
    <w:unhideWhenUsed/>
    <w:qFormat/>
    <w:pPr>
      <w:ind w:left="1134"/>
      <w:spacing w:after="57"/>
    </w:pPr>
  </w:style>
  <w:style w:type="paragraph" w:styleId="666">
    <w:name w:val="Title"/>
    <w:basedOn w:val="636"/>
    <w:next w:val="636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7">
    <w:name w:val="Footer"/>
    <w:basedOn w:val="636"/>
    <w:link w:val="725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8">
    <w:name w:val="Subtitle"/>
    <w:basedOn w:val="636"/>
    <w:next w:val="636"/>
    <w:link w:val="718"/>
    <w:uiPriority w:val="11"/>
    <w:qFormat/>
    <w:pPr>
      <w:spacing w:before="200" w:after="200"/>
    </w:pPr>
    <w:rPr>
      <w:sz w:val="24"/>
      <w:szCs w:val="24"/>
    </w:rPr>
  </w:style>
  <w:style w:type="table" w:styleId="669">
    <w:name w:val="Table Grid"/>
    <w:uiPriority w:val="5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2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uiPriority w:val="10"/>
    <w:qFormat/>
    <w:rPr>
      <w:sz w:val="48"/>
      <w:szCs w:val="48"/>
    </w:rPr>
  </w:style>
  <w:style w:type="character" w:styleId="680" w:customStyle="1">
    <w:name w:val="Subtitle Char"/>
    <w:uiPriority w:val="11"/>
    <w:qFormat/>
    <w:rPr>
      <w:sz w:val="24"/>
      <w:szCs w:val="24"/>
    </w:rPr>
  </w:style>
  <w:style w:type="character" w:styleId="681" w:customStyle="1">
    <w:name w:val="Quote Char"/>
    <w:uiPriority w:val="29"/>
    <w:qFormat/>
    <w:rPr>
      <w:i/>
    </w:rPr>
  </w:style>
  <w:style w:type="character" w:styleId="682" w:customStyle="1">
    <w:name w:val="Intense Quote Char"/>
    <w:uiPriority w:val="30"/>
    <w:qFormat/>
    <w:rPr>
      <w:i/>
    </w:rPr>
  </w:style>
  <w:style w:type="character" w:styleId="683" w:customStyle="1">
    <w:name w:val="Header Char"/>
    <w:basedOn w:val="646"/>
    <w:uiPriority w:val="99"/>
    <w:qFormat/>
  </w:style>
  <w:style w:type="character" w:styleId="684" w:customStyle="1">
    <w:name w:val="Caption Char"/>
    <w:uiPriority w:val="99"/>
    <w:qFormat/>
  </w:style>
  <w:style w:type="table" w:styleId="685" w:customStyle="1">
    <w:name w:val="Plain Table 1"/>
    <w:basedOn w:val="647"/>
    <w:uiPriority w:val="59"/>
    <w:qFormat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Plain Table 2"/>
    <w:basedOn w:val="647"/>
    <w:uiPriority w:val="59"/>
    <w:qFormat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Plain Table 3"/>
    <w:basedOn w:val="647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Plain Table 4"/>
    <w:basedOn w:val="647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Plain Table 5"/>
    <w:basedOn w:val="647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1 Light"/>
    <w:basedOn w:val="647"/>
    <w:uiPriority w:val="99"/>
    <w:qFormat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2"/>
    <w:basedOn w:val="647"/>
    <w:uiPriority w:val="99"/>
    <w:qFormat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"/>
    <w:basedOn w:val="647"/>
    <w:uiPriority w:val="99"/>
    <w:qFormat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4"/>
    <w:basedOn w:val="647"/>
    <w:uiPriority w:val="59"/>
    <w:qFormat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694" w:customStyle="1">
    <w:name w:val="Grid Table 5 Dark"/>
    <w:basedOn w:val="647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695" w:customStyle="1">
    <w:name w:val="Grid Table 6 Colorful"/>
    <w:basedOn w:val="647"/>
    <w:uiPriority w:val="99"/>
    <w:qFormat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696" w:customStyle="1">
    <w:name w:val="Grid Table 7 Colorful"/>
    <w:basedOn w:val="647"/>
    <w:uiPriority w:val="99"/>
    <w:qFormat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List Table 1 Light"/>
    <w:basedOn w:val="647"/>
    <w:uiPriority w:val="99"/>
    <w:qFormat/>
    <w:tblPr/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List Table 2"/>
    <w:basedOn w:val="647"/>
    <w:uiPriority w:val="99"/>
    <w:qFormat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699" w:customStyle="1">
    <w:name w:val="List Table 3"/>
    <w:basedOn w:val="647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List Table 4"/>
    <w:basedOn w:val="647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List Table 5 Dark"/>
    <w:basedOn w:val="647"/>
    <w:uiPriority w:val="99"/>
    <w:qFormat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02" w:customStyle="1">
    <w:name w:val="List Table 6 Colorful"/>
    <w:basedOn w:val="647"/>
    <w:uiPriority w:val="99"/>
    <w:qFormat/>
    <w:tblPr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03" w:customStyle="1">
    <w:name w:val="List Table 7 Colorful"/>
    <w:basedOn w:val="647"/>
    <w:uiPriority w:val="99"/>
    <w:qFormat/>
    <w:tblPr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04" w:customStyle="1">
    <w:name w:val="Footnote Text Char"/>
    <w:uiPriority w:val="99"/>
    <w:qFormat/>
    <w:rPr>
      <w:sz w:val="18"/>
    </w:rPr>
  </w:style>
  <w:style w:type="character" w:styleId="705" w:customStyle="1">
    <w:name w:val="Endnote Text Char"/>
    <w:uiPriority w:val="99"/>
    <w:qFormat/>
    <w:rPr>
      <w:sz w:val="20"/>
    </w:rPr>
  </w:style>
  <w:style w:type="character" w:styleId="706" w:customStyle="1">
    <w:name w:val="Заголовок 1 Знак"/>
    <w:link w:val="637"/>
    <w:uiPriority w:val="9"/>
    <w:qFormat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38"/>
    <w:uiPriority w:val="9"/>
    <w:qFormat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39"/>
    <w:uiPriority w:val="9"/>
    <w:qFormat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4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6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64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36"/>
    <w:uiPriority w:val="34"/>
    <w:qFormat/>
    <w:pPr>
      <w:contextualSpacing/>
      <w:ind w:left="720"/>
      <w:spacing w:after="200" w:line="276" w:lineRule="auto"/>
    </w:pPr>
  </w:style>
  <w:style w:type="paragraph" w:styleId="716">
    <w:name w:val="No Spacing"/>
    <w:uiPriority w:val="1"/>
    <w:qFormat/>
    <w:rPr>
      <w:rFonts w:ascii="Calibri" w:hAnsi="Calibri" w:eastAsia="Calibri" w:cs="Times New Roman"/>
      <w:lang w:val="ru-RU" w:eastAsia="zh-CN" w:bidi="ar-SA"/>
    </w:rPr>
  </w:style>
  <w:style w:type="character" w:styleId="717" w:customStyle="1">
    <w:name w:val="Заголовок Знак"/>
    <w:link w:val="666"/>
    <w:uiPriority w:val="10"/>
    <w:qFormat/>
    <w:rPr>
      <w:sz w:val="48"/>
      <w:szCs w:val="48"/>
    </w:rPr>
  </w:style>
  <w:style w:type="character" w:styleId="718" w:customStyle="1">
    <w:name w:val="Подзаголовок Знак"/>
    <w:link w:val="668"/>
    <w:uiPriority w:val="11"/>
    <w:qFormat/>
    <w:rPr>
      <w:sz w:val="24"/>
      <w:szCs w:val="24"/>
    </w:rPr>
  </w:style>
  <w:style w:type="paragraph" w:styleId="719">
    <w:name w:val="Quote"/>
    <w:basedOn w:val="636"/>
    <w:next w:val="636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qFormat/>
    <w:rPr>
      <w:i/>
    </w:rPr>
  </w:style>
  <w:style w:type="paragraph" w:styleId="721">
    <w:name w:val="Intense Quote"/>
    <w:basedOn w:val="636"/>
    <w:next w:val="636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qFormat/>
    <w:rPr>
      <w:i/>
    </w:rPr>
  </w:style>
  <w:style w:type="character" w:styleId="723" w:customStyle="1">
    <w:name w:val="Верхний колонтитул Знак"/>
    <w:link w:val="656"/>
    <w:uiPriority w:val="99"/>
    <w:qFormat/>
  </w:style>
  <w:style w:type="character" w:styleId="724" w:customStyle="1">
    <w:name w:val="Footer Char"/>
    <w:uiPriority w:val="99"/>
    <w:qFormat/>
  </w:style>
  <w:style w:type="character" w:styleId="725" w:customStyle="1">
    <w:name w:val="Нижний колонтитул Знак"/>
    <w:link w:val="667"/>
    <w:uiPriority w:val="99"/>
    <w:qFormat/>
  </w:style>
  <w:style w:type="table" w:styleId="726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Таблица простая 21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Таблица простая 3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Таблица простая 4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Таблица простая 5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Таблица-сетка 1 светлая1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Таблица-сетка 2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Таблица-сетка 3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Таблица-сетка 41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Таблица-сетка 5 темная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Таблица-сетка 6 цветная1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Таблица-сетка 7 цветная1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Список-таблица 1 светлая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Список-таблица 21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Список-таблица 3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Список-таблица 4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Список-таблица 5 темная1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Список-таблица 6 цветная1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Список-таблица 7 цветная1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 w:customStyle="1">
    <w:name w:val="Текст сноски Знак"/>
    <w:link w:val="654"/>
    <w:uiPriority w:val="99"/>
    <w:qFormat/>
    <w:rPr>
      <w:sz w:val="18"/>
    </w:rPr>
  </w:style>
  <w:style w:type="character" w:styleId="852" w:customStyle="1">
    <w:name w:val="Текст концевой сноски Знак"/>
    <w:link w:val="652"/>
    <w:uiPriority w:val="99"/>
    <w:qFormat/>
    <w:rPr>
      <w:sz w:val="20"/>
    </w:rPr>
  </w:style>
  <w:style w:type="paragraph" w:styleId="853" w:customStyle="1">
    <w:name w:val="TOC Heading"/>
    <w:uiPriority w:val="39"/>
    <w:unhideWhenUsed/>
    <w:qFormat/>
    <w:rPr>
      <w:rFonts w:ascii="Calibri" w:hAnsi="Calibri" w:eastAsia="Calibri" w:cs="Times New Roman"/>
      <w:lang w:val="ru-RU" w:eastAsia="zh-CN" w:bidi="ar-SA"/>
    </w:rPr>
  </w:style>
  <w:style w:type="character" w:styleId="854" w:customStyle="1">
    <w:name w:val="Текст выноски Знак"/>
    <w:link w:val="651"/>
    <w:uiPriority w:val="99"/>
    <w:semiHidden/>
    <w:qFormat/>
    <w:rPr>
      <w:rFonts w:ascii="Segoe UI" w:hAnsi="Segoe UI" w:cs="Segoe UI"/>
      <w:sz w:val="18"/>
      <w:szCs w:val="18"/>
    </w:rPr>
  </w:style>
  <w:style w:type="numbering" w:styleId="8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43</cp:revision>
  <dcterms:created xsi:type="dcterms:W3CDTF">2022-01-19T12:10:00Z</dcterms:created>
  <dcterms:modified xsi:type="dcterms:W3CDTF">2026-02-10T12:46:19Z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