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 внесении изменений в постановление Правительства Белгородской области от 23 декабря 2024 года № 641-пп»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начало: 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24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апреля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2025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окончание 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мая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2025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Правительства Белгородской области изменяются ранее предусмотренные постановлением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</w:t>
      </w:r>
      <w:r>
        <w:rPr>
          <w:rFonts w:ascii="Times New Roman" w:hAnsi="Times New Roman" w:eastAsia="Calibri" w:cs="Times New Roman"/>
          <w:sz w:val="26"/>
          <w:szCs w:val="26"/>
        </w:rPr>
        <w:t xml:space="preserve">т 23 декабря 2024 года № 641-пп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обязанности субъектов предпринимательской деятельности по предоставлению пакета документов, необходимого для получения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грантов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в форме субсидий сельскохозяйственным товаропроизводителям Белгородской области на возобновление деятельности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Тарасова Кристина Юрьевна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отдела государственной поддержки малых форм департамента устойчивого развития сельских территорий министерства сельского хозяйства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продовольствия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24-76-47. Адрес электронной почты: </w:t>
      </w:r>
      <w:hyperlink r:id="rId9" w:tooltip="mailto:tov@belapk.ru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 tarasova_kyu@belregion.ru</w:t>
        </w:r>
        <w:r>
          <w:t xml:space="preserve"> </w:t>
        </w:r>
      </w:hyperlink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 отсутствие возможности ведения деятельности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сельскохозяйственными товаропроизводителями Белгородской области, основная материально-техническая база которых размещена на  приграничных территориях Белгородской области;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- приведение в соответствие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со статьей 15 Закона Белгородской области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</w:rPr>
        <w:br/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от 23 декабря 2024 года № 430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«Об областном бюджете на 2025 год и на плановый период 2026 и 2027 годов»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части перечисления денежных средств на счета, открытые в территориальных органах казначейства.  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Данная проблема выявлена в результате мониторинга деятельности сельскохозяйственных товаропроизводителей Белгородской области, а также по результатам их обращений в органы государственной власти.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Невозможность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перечисления денежных средств на счета, открытые в территориальных органах казначейства.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Анализ опыта и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ных субъектов Российской Федерации показал, что органами исполнительной власти приграничных субъектов Российской Федерации ведутся работы по разработке аналогичных нормативных правовых актов, предусматривающих дополнительные меры государственной поддержки 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сельхозтоваропроизводителям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Создание оптимальных условий для оказания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грантовой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поддержки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сельскохозяйственными товаропроизводителями Белгородской области, основная материально-техническая база которых размещена на  приграничных территориях Белгородской области.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проект нормативного правового акта разработан в соответствии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со статьей 15 Закона Белгородской области от 23 декабря 2024 года № 430 «Об областном бюджете на 2025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 и на плановый период 2026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2027 годов»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                        декабрь 2025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 отсутствует.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преодоления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Скорректирован порядок предоставления гранта на возобновление деятельности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сельскохозяйственным товаропроизводителям Белгородской области, основная материально-техническая база которых размещена на  приграничных территориях Белгородской области,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предусматривающий:</w:t>
      </w:r>
      <w:r/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порядок проведения конкурса среди заявителей для предоставления гранта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  <w:outlineLvl w:val="1"/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условия и порядок предоставления гранта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highlight w:val="none"/>
        </w:rPr>
        <w:outlineLvl w:val="1"/>
      </w:pPr>
      <w:r>
        <w:rPr>
          <w:rFonts w:ascii="Times New Roman" w:hAnsi="Times New Roman" w:eastAsia="Calibri" w:cs="Times New Roman"/>
          <w:sz w:val="26"/>
          <w:szCs w:val="26"/>
        </w:rPr>
        <w:t xml:space="preserve">- порядок предоставления отчетности</w:t>
      </w:r>
      <w:r>
        <w:rPr>
          <w:rFonts w:ascii="Times New Roman" w:hAnsi="Times New Roman" w:cs="Times New Roman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осуществление деятельности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сельскохозяйственными товаропроизводителями Белгородской области, основная материально-техническая база которых размещена на  приграничных территориях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за счёт собственных или заёмных (кредитных) средств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Так, например, при размере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гранта на возобновление деятельности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сумме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5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млн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руб., в случае привлечения заемных средств в вышеуказанной сумме под процентную ставку в размере 8,5% (в сфере АПК) на 18 месяцев переплата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сельхозтоваропроизводителей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составит 343,2 тыс. руб.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размере гранта на переработку сельскохозяйственной продукции и развитие отрасли рыбоводства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сумме 8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млн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руб., в случае привлечения заемных средств в вышеуказанной сумме под процентную ставку в размере 8,5% (в сфере АПК)  на 18 месяцев  переплата товаропроизводителя составит 549,1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Таким образом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получение государственной поддержки для сельскохозяйственных товаропроизводителей является финансово более выгодным, чем привлечение заемных ресурсов.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Данный способ регулирования позволит снизить финансовую нагрузку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сельхозтоваропроизводителей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повысит эффективность освоения предоставленной поддержки, 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будет способствовать более эффективному развитию производства </w:t>
      </w:r>
      <w:r>
        <w:rPr>
          <w:rFonts w:ascii="Times New Roman" w:hAnsi="Times New Roman" w:eastAsia="Times New Roman" w:cs="Times New Roman"/>
          <w:spacing w:val="-6"/>
          <w:sz w:val="26"/>
          <w:szCs w:val="26"/>
          <w:lang w:eastAsia="ru-RU"/>
        </w:rPr>
        <w:t xml:space="preserve">сельскохозяйственной продукции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на территории области.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Предусмотренное нормативное регулирование позволит оказать поддержку не менее 20 сельскохозяйственным товаропроизводителям на общую сумму 150,0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млн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рублей из средств областного бюджета, которые не могут вести сельскохозяйственную деятельность на прежнем месте и планируют возобновление деятельности на более безопасных территориях муниципальных образований Белгородской области.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left="57" w:right="57"/>
              <w:jc w:val="both"/>
              <w:keepLines/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Сельскохозяйственные товаропроизводители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Белгородской области, основная материально-техническая база которых размещена на приграничных территориях Белгородской области, претендующие на получение гранта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bCs/>
          <w:color w:val="ff000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543"/>
        <w:gridCol w:w="382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Сельскохозяйственные товаропроизводители  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Белгородской области, основная материально-техническая база которых размещена на  приграничных территориях Белгородской области,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претендующие на получение гранта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Преимущества:</w:t>
            </w:r>
            <w:r/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-отсутствие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необходимости предоставления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ходатайства главы администрации муниципального района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или городского округа</w:t>
            </w:r>
            <w:r/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перечисление денежных средств на расчетный счет получателя</w:t>
            </w:r>
            <w:r/>
          </w:p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Обязанности: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документов, предусматривающих ведение рентабельного производства сельскохозяйственной продукции сельскохозяйственными товаропроизводителями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более безопасных территориях муниципальных образований Белгородской области, а также содержащих план расходов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</w:r>
            <w:r>
              <w:rPr>
                <w:rFonts w:ascii="Times New Roman" w:hAnsi="Times New Roman"/>
                <w:b/>
                <w:bCs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</w:r>
            <w:r>
              <w:rPr>
                <w:rFonts w:ascii="Times New Roman" w:hAnsi="Times New Roman"/>
                <w:b/>
                <w:bCs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скорректированного пакета документов, необходимого </w:t>
            </w:r>
            <w:r>
              <w:rPr>
                <w:rFonts w:ascii="Times New Roman" w:hAnsi="Times New Roman" w:eastAsia="Times New Roman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для получения грантов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 возобновление деятельности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позволит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сократить трудозатраты заявителей на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8,26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тыс. руб.</w:t>
            </w:r>
            <w:r>
              <w:rPr>
                <w:rFonts w:ascii="Times New Roman" w:hAnsi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Общая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ст-ть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требования по предоставлению пакета документов: </w:t>
              <w:br/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67,739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тыс. руб.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создание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по направлениям деятельности овощеводство,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ягодоводство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садоводство, пчеловодство сумма гранта на возобновление деятельности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более 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млн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рублей.</w:t>
            </w:r>
            <w:r>
              <w:rPr>
                <w:b/>
                <w:bCs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переработку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сельскохозяйственной продукции и развитие отрасли рыбоводства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более 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млн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рублей</w:t>
            </w:r>
            <w:r>
              <w:rPr>
                <w:b/>
                <w:bCs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Cs/>
          <w:color w:val="ff0000"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color w:val="ff0000"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 на возобновление деятельности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Финансирование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2025 году будет осуществляться из областного бюджета в виде гранта на общую сумму                  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150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млн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рублей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color w:val="ff0000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отсутствуют.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методов контроля эффективности избранного способа достижения целей регулирования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:</w:t>
      </w:r>
      <w:r/>
    </w:p>
    <w:tbl>
      <w:tblPr>
        <w:tblpPr w:horzAnchor="margin" w:tblpXSpec="left" w:vertAnchor="text" w:tblpY="189" w:leftFromText="180" w:topFromText="0" w:rightFromText="180" w:bottomFromText="0"/>
        <w:tblW w:w="9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избранного способа достижения целей регулирования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Уменьшение числа потенциальных участников мероприятий по предоставлению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 на возобновление деятельности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2. Сокращение интереса у потенциальных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грантов. Снижение процента выручки  крестьянскими (фермерскими) хозяйствами или индивидуальными предпринимателями, сформированной за счет  перерабатывающей и сбытовой деятельности.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42"/>
        <w:gridCol w:w="1560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>
          <w:trHeight w:val="2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32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на  официальном сайте департамента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belapk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  <w:tr>
        <w:trPr>
          <w:trHeight w:val="9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32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Мониторинг предоставленных грантов на возобновление деятельности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-декабрь 2025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  <w:tr>
        <w:trPr>
          <w:trHeight w:val="9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Merge w:val="restart"/>
            <w:textDirection w:val="lrTb"/>
            <w:noWrap w:val="false"/>
          </w:tcPr>
          <w:p>
            <w:pPr>
              <w:pStyle w:val="832"/>
              <w:keepNext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жалоб на наличие излишних требований по предоставлению пакета документов.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грантов. 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9"/>
        <w:gridCol w:w="2319"/>
        <w:gridCol w:w="2545"/>
        <w:gridCol w:w="2322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 декабрю 2025 года 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поддержки в виде гранта на возобновление деятельности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2.Увеличением объема реализуемой сельскохозяйственной продукции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Отсутствие жалоб грантополучателей на излишние требования по предоставлению пакета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грантополучателей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общую сумму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3 лет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Квартальная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и годовая отчётности в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highlight w:val="none"/>
              </w:rPr>
              <w:t xml:space="preserve">Мониторинг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обращений грантополучателе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2025 года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Ежегодно (в течение 3 лет с предоставления гранта)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май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2025 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p>
      <w:pPr>
        <w:pStyle w:val="832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832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709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4"/>
    <w:next w:val="634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4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4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44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44"/>
    <w:uiPriority w:val="99"/>
  </w:style>
  <w:style w:type="paragraph" w:styleId="687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 w:customStyle="1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5">
    <w:name w:val="footnote text"/>
    <w:basedOn w:val="634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44"/>
    <w:uiPriority w:val="99"/>
    <w:unhideWhenUsed/>
    <w:rPr>
      <w:vertAlign w:val="superscript"/>
    </w:rPr>
  </w:style>
  <w:style w:type="paragraph" w:styleId="818">
    <w:name w:val="endnote text"/>
    <w:basedOn w:val="634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44"/>
    <w:uiPriority w:val="99"/>
    <w:semiHidden/>
    <w:unhideWhenUsed/>
    <w:rPr>
      <w:vertAlign w:val="superscript"/>
    </w:rPr>
  </w:style>
  <w:style w:type="paragraph" w:styleId="821">
    <w:name w:val="toc 1"/>
    <w:basedOn w:val="634"/>
    <w:next w:val="634"/>
    <w:uiPriority w:val="39"/>
    <w:unhideWhenUsed/>
    <w:pPr>
      <w:spacing w:after="57"/>
    </w:pPr>
  </w:style>
  <w:style w:type="paragraph" w:styleId="822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3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4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5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6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7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8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29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34"/>
    <w:next w:val="634"/>
    <w:uiPriority w:val="99"/>
    <w:unhideWhenUsed/>
    <w:pPr>
      <w:spacing w:after="0"/>
    </w:pPr>
  </w:style>
  <w:style w:type="paragraph" w:styleId="83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6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8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9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0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1">
    <w:name w:val="Hyperlink"/>
    <w:basedOn w:val="644"/>
    <w:uiPriority w:val="99"/>
    <w:unhideWhenUsed/>
    <w:rPr>
      <w:color w:val="0000ff" w:themeColor="hyperlink"/>
      <w:u w:val="single"/>
    </w:rPr>
  </w:style>
  <w:style w:type="paragraph" w:styleId="842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3" w:customStyle="1">
    <w:name w:val="StGen0"/>
    <w:basedOn w:val="634"/>
    <w:next w:val="84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>
    <w:name w:val="Normal (Web)"/>
    <w:basedOn w:val="634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845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6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tov@belap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E1B3-93D4-44FC-B8A9-C32C61FB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9</cp:revision>
  <dcterms:created xsi:type="dcterms:W3CDTF">2025-02-13T09:28:00Z</dcterms:created>
  <dcterms:modified xsi:type="dcterms:W3CDTF">2025-04-24T09:30:16Z</dcterms:modified>
</cp:coreProperties>
</file>