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</w:p>
    <w:p>
      <w:pPr>
        <w:pStyle w:val="83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4"/>
        <w:jc w:val="center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постановления Правительства Белгородской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внесении изменений в постановление Правительства </w:t>
        <w:br/>
        <w:t xml:space="preserve">Белгородской области от 18 августа 2014 года № 311-пп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Представленный п</w:t>
      </w:r>
      <w:r>
        <w:rPr>
          <w:b w:val="0"/>
          <w:bCs w:val="0"/>
          <w:sz w:val="28"/>
          <w:szCs w:val="28"/>
          <w:highlight w:val="white"/>
        </w:rPr>
        <w:t xml:space="preserve">роект постановления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Правительства Белгородской области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О внесении изменений в постановление Правительства Белгородской области от 18 августа 2014 года № 311-пп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 подготовлен</w:t>
      </w:r>
      <w:r>
        <w:rPr>
          <w:b w:val="0"/>
          <w:bCs w:val="0"/>
          <w:sz w:val="28"/>
          <w:szCs w:val="28"/>
          <w:highlight w:val="white"/>
        </w:rPr>
        <w:t xml:space="preserve"> м</w:t>
      </w:r>
      <w:r>
        <w:rPr>
          <w:b w:val="0"/>
          <w:bCs w:val="0"/>
          <w:sz w:val="28"/>
          <w:szCs w:val="28"/>
          <w:highlight w:val="white"/>
        </w:rPr>
        <w:t xml:space="preserve">инистерством имущественных и земельных отношений Белгородской области </w:t>
      </w:r>
      <w:r>
        <w:rPr>
          <w:b w:val="0"/>
          <w:bCs w:val="0"/>
          <w:sz w:val="28"/>
          <w:szCs w:val="28"/>
          <w:highlight w:val="white"/>
        </w:rPr>
        <w:t xml:space="preserve">в целях </w:t>
      </w:r>
      <w:r>
        <w:rPr>
          <w:b w:val="0"/>
          <w:bCs w:val="0"/>
          <w:sz w:val="28"/>
          <w:szCs w:val="28"/>
          <w:highlight w:val="white"/>
        </w:rPr>
        <w:t xml:space="preserve">приведения </w:t>
      </w:r>
      <w:r>
        <w:rPr>
          <w:sz w:val="28"/>
          <w:szCs w:val="28"/>
          <w:highlight w:val="white"/>
        </w:rPr>
        <w:t xml:space="preserve">Порядка прин</w:t>
      </w:r>
      <w:r>
        <w:rPr>
          <w:sz w:val="28"/>
          <w:szCs w:val="28"/>
          <w:highlight w:val="white"/>
        </w:rPr>
        <w:t xml:space="preserve">ятия решений об утверждении (изменении) границ зон с особыми условиями использования территории (охранных зон газопроводов) и наложении ограничений (обременении) на входящие в них земельные участки на территории Белгородской области</w:t>
      </w:r>
      <w:r>
        <w:rPr>
          <w:b w:val="0"/>
          <w:bCs w:val="0"/>
          <w:sz w:val="28"/>
          <w:szCs w:val="28"/>
          <w:highlight w:val="white"/>
        </w:rPr>
        <w:t xml:space="preserve">, утвержденного  </w:t>
      </w:r>
      <w:r>
        <w:rPr>
          <w:b w:val="0"/>
          <w:bCs w:val="0"/>
          <w:sz w:val="28"/>
          <w:szCs w:val="28"/>
          <w:highlight w:val="white"/>
        </w:rPr>
        <w:t xml:space="preserve">постановле</w:t>
      </w:r>
      <w:r>
        <w:rPr>
          <w:b w:val="0"/>
          <w:bCs w:val="0"/>
          <w:sz w:val="28"/>
          <w:szCs w:val="28"/>
          <w:highlight w:val="white"/>
        </w:rPr>
        <w:t xml:space="preserve">нием Правительства Белгородской области от 18 августа 2014 года № 311-пп (далее – Порядок),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в соответствие с </w:t>
      </w:r>
      <w:r>
        <w:rPr>
          <w:b w:val="0"/>
          <w:bCs w:val="0"/>
          <w:sz w:val="28"/>
          <w:szCs w:val="28"/>
          <w:highlight w:val="white"/>
        </w:rPr>
        <w:t xml:space="preserve">действующим законодательством в части уточнения перечня документов, которые заявитель должен предоставить самостоятельно, в том числе в случае установления </w:t>
      </w:r>
      <w:r>
        <w:rPr>
          <w:sz w:val="28"/>
          <w:szCs w:val="28"/>
          <w:highlight w:val="none"/>
          <w:lang w:val="en-US"/>
        </w:rPr>
        <w:t xml:space="preserve">зон </w:t>
        <w:br/>
        <w:t xml:space="preserve">с особыми условиями использования территории в связи с размещением вновь создаваемого объекта</w:t>
      </w:r>
      <w:r>
        <w:rPr>
          <w:b w:val="0"/>
          <w:bCs w:val="0"/>
          <w:sz w:val="28"/>
          <w:szCs w:val="28"/>
          <w:highlight w:val="none"/>
        </w:rPr>
        <w:t xml:space="preserve"> газораспределительной сети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Указанным проектом скорректированы способы подачи заявления </w:t>
        <w:br/>
        <w:t xml:space="preserve">об утверждении  </w:t>
      </w:r>
      <w:r>
        <w:rPr>
          <w:sz w:val="28"/>
          <w:szCs w:val="28"/>
          <w:highlight w:val="white"/>
        </w:rPr>
        <w:t xml:space="preserve">охранных зон газопроводов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Учитывая заключенное соглашение о взаимодействии между </w:t>
      </w:r>
      <w:r>
        <w:rPr>
          <w:sz w:val="28"/>
          <w:szCs w:val="28"/>
          <w:highlight w:val="none"/>
        </w:rPr>
        <w:t xml:space="preserve">государственным автономным учреждением Белгородской области «Многофункциональный центр предоставления государственных </w:t>
        <w:br/>
        <w:t xml:space="preserve">и муниципальных услуг» и министерством имущественных и земельных отношений Белгородской области от 27.12.2024 года № 374 в соответствии </w:t>
        <w:br/>
        <w:t xml:space="preserve">с </w:t>
      </w:r>
      <w:r>
        <w:rPr>
          <w:sz w:val="28"/>
          <w:szCs w:val="28"/>
          <w:highlight w:val="none"/>
        </w:rPr>
        <w:t xml:space="preserve">частью 1.8 статьи 7 </w:t>
      </w:r>
      <w:r>
        <w:rPr>
          <w:sz w:val="28"/>
          <w:szCs w:val="28"/>
          <w:highlight w:val="none"/>
        </w:rPr>
        <w:t xml:space="preserve">Федерального закона от 27.07.2010 года № 210-ФЗ </w:t>
        <w:br/>
        <w:t xml:space="preserve">«</w:t>
      </w:r>
      <w:r>
        <w:rPr>
          <w:sz w:val="28"/>
          <w:szCs w:val="28"/>
          <w:highlight w:val="none"/>
        </w:rPr>
        <w:t xml:space="preserve">Об организации предоставления государственных и муниципальных услуг»</w:t>
      </w:r>
      <w:r>
        <w:t xml:space="preserve"> исключен пункт Порядка, предусматривающий направление заявления об утверждении </w:t>
      </w:r>
      <w:r>
        <w:rPr>
          <w:sz w:val="28"/>
          <w:szCs w:val="28"/>
          <w:highlight w:val="white"/>
        </w:rPr>
        <w:t xml:space="preserve">(изменении) границ зон с особыми условиями использования территории (охранных зон газопроводов)</w:t>
      </w:r>
      <w:r>
        <w:t xml:space="preserve"> непосредственно лично (через уполномоченного представителя) в уполномоченный орган.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pacing w:val="2"/>
          <w14:ligatures w14:val="none"/>
        </w:rPr>
      </w:pPr>
      <w:r>
        <w:rPr>
          <w:spacing w:val="2"/>
        </w:rPr>
      </w:r>
      <w:r>
        <w:rPr>
          <w:spacing w:val="2"/>
        </w:rPr>
        <w:t xml:space="preserve">До настоящего времени в адрес уполномоченного органа не поступило ни одного заявления об </w:t>
      </w:r>
      <w:r>
        <w:rPr>
          <w:spacing w:val="2"/>
        </w:rPr>
        <w:t xml:space="preserve">утверждении </w:t>
      </w:r>
      <w:r>
        <w:rPr>
          <w:spacing w:val="2"/>
        </w:rPr>
        <w:t xml:space="preserve">(изменении) границ зон с особыми условиями использования территории (охранных зон газопроводов)</w:t>
      </w:r>
      <w:r>
        <w:rPr>
          <w:spacing w:val="2"/>
        </w:rPr>
        <w:t xml:space="preserve"> посредством почтового отправления. Порядком не предусмотрено предоставление нотариально удостоверенной </w:t>
      </w:r>
      <w:r>
        <w:rPr>
          <w:spacing w:val="2"/>
        </w:rPr>
        <w:t xml:space="preserve">копии документа, удостоверяющего личность, в целях идентификации </w:t>
      </w:r>
      <w:r>
        <w:rPr>
          <w:spacing w:val="2"/>
        </w:rPr>
        <w:t xml:space="preserve">заявителя</w:t>
      </w:r>
      <w:r>
        <w:rPr>
          <w:spacing w:val="2"/>
        </w:rPr>
        <w:t xml:space="preserve">. В целях </w:t>
      </w:r>
      <w:r>
        <w:rPr>
          <w:spacing w:val="2"/>
        </w:rPr>
        <w:t xml:space="preserve">повышения юридической надежности, безопасности и эффективности процедуры утверждения </w:t>
      </w:r>
      <w:r>
        <w:rPr>
          <w:spacing w:val="2"/>
        </w:rPr>
        <w:t xml:space="preserve">границ охранных зон газопроводов и обеспечения достоверности и идентификации заявителя </w:t>
      </w:r>
      <w:r>
        <w:rPr>
          <w:spacing w:val="2"/>
        </w:rPr>
        <w:t xml:space="preserve">и</w:t>
      </w:r>
      <w:r>
        <w:rPr>
          <w:spacing w:val="2"/>
        </w:rPr>
        <w:t xml:space="preserve">сключен пункт Порядка, </w:t>
      </w:r>
      <w:r>
        <w:t xml:space="preserve">предусматривающий направление заявления об утверждении </w:t>
      </w:r>
      <w:r>
        <w:rPr>
          <w:sz w:val="28"/>
          <w:szCs w:val="28"/>
          <w:highlight w:val="white"/>
        </w:rPr>
        <w:t xml:space="preserve">(изменении) границ зон с особыми условиями использования территории (охранных зон газопроводов)</w:t>
      </w:r>
      <w:r>
        <w:t xml:space="preserve"> </w:t>
      </w:r>
      <w:r>
        <w:rPr>
          <w:spacing w:val="2"/>
        </w:rPr>
        <w:t xml:space="preserve">посредством почтового отравления. </w:t>
      </w:r>
      <w:r>
        <w:rPr>
          <w:spacing w:val="2"/>
        </w:rPr>
      </w:r>
      <w:r>
        <w:rPr>
          <w:spacing w:val="2"/>
          <w14:ligatures w14:val="none"/>
        </w:rPr>
      </w:r>
    </w:p>
    <w:p>
      <w:pPr>
        <w:ind w:firstLine="709"/>
        <w:jc w:val="both"/>
        <w:rPr>
          <w:spacing w:val="2"/>
          <w:highlight w:val="none"/>
          <w14:ligatures w14:val="none"/>
        </w:rPr>
      </w:pPr>
      <w:r>
        <w:rPr>
          <w:highlight w:val="none"/>
        </w:rPr>
      </w:r>
      <w:r>
        <w:rPr>
          <w:spacing w:val="2"/>
        </w:rPr>
        <w:t xml:space="preserve">С учетом требований к информационной безопасности п</w:t>
      </w:r>
      <w:r>
        <w:t xml:space="preserve">редставляется целесообразным уточнить требования к по</w:t>
      </w:r>
      <w:r>
        <w:rPr>
          <w:spacing w:val="2"/>
        </w:rPr>
        <w:t xml:space="preserve">даче заявления об оказании государственной услуги  в форме электронного документа</w:t>
      </w:r>
      <w:r>
        <w:rPr>
          <w:spacing w:val="2"/>
        </w:rPr>
        <w:t xml:space="preserve">. В связи с реализацией возможности </w:t>
      </w:r>
      <w:r>
        <w:rPr>
          <w:spacing w:val="2"/>
        </w:rPr>
        <w:t xml:space="preserve">подачи указанных </w:t>
      </w:r>
      <w:r>
        <w:rPr>
          <w:spacing w:val="2"/>
        </w:rPr>
        <w:t xml:space="preserve">заявлений и получения результатов указанной государственной услуги посредством ЕПГУ</w:t>
      </w:r>
      <w:r>
        <w:rPr>
          <w:spacing w:val="2"/>
        </w:rPr>
        <w:t xml:space="preserve">, пункт Порядка, </w:t>
      </w:r>
      <w:r>
        <w:rPr>
          <w:spacing w:val="2"/>
        </w:rPr>
        <w:t xml:space="preserve">предусматривающий направление заявления об утверждении </w:t>
      </w:r>
      <w:r>
        <w:rPr>
          <w:spacing w:val="2"/>
        </w:rPr>
        <w:t xml:space="preserve">(изменении) границ зон с особыми условиями использования территории (охранных зон газопроводов)</w:t>
      </w:r>
      <w:r>
        <w:rPr>
          <w:spacing w:val="2"/>
        </w:rPr>
        <w:t xml:space="preserve"> на официальный адрес</w:t>
      </w:r>
      <w:r>
        <w:rPr>
          <w:spacing w:val="2"/>
        </w:rPr>
        <w:t xml:space="preserve"> электронной почты министерства исключе</w:t>
      </w:r>
      <w:r>
        <w:rPr>
          <w:spacing w:val="2"/>
        </w:rPr>
        <w:t xml:space="preserve">н.</w:t>
      </w:r>
      <w:r>
        <w:rPr>
          <w:spacing w:val="2"/>
          <w14:ligatures w14:val="none"/>
        </w:rPr>
      </w:r>
      <w:r>
        <w:rPr>
          <w:spacing w:val="2"/>
          <w:highlight w:val="none"/>
          <w14:ligatures w14:val="none"/>
        </w:rPr>
      </w:r>
    </w:p>
    <w:p>
      <w:pPr>
        <w:ind w:firstLine="709"/>
        <w:jc w:val="both"/>
        <w:rPr>
          <w:spacing w:val="2"/>
          <w14:ligatures w14:val="none"/>
        </w:rPr>
      </w:pPr>
      <w:r>
        <w:rPr>
          <w:spacing w:val="2"/>
          <w:highlight w:val="none"/>
          <w14:ligatures w14:val="none"/>
        </w:rPr>
        <w:t xml:space="preserve">Указанным проектом уточнены основания </w:t>
      </w:r>
      <w:r>
        <w:rPr>
          <w:sz w:val="28"/>
          <w:szCs w:val="28"/>
          <w:highlight w:val="none"/>
          <w14:ligatures w14:val="none"/>
        </w:rPr>
        <w:t xml:space="preserve">принятии решения об</w:t>
      </w:r>
      <w:r>
        <w:rPr>
          <w:sz w:val="28"/>
          <w:szCs w:val="28"/>
          <w:highlight w:val="none"/>
          <w14:ligatures w14:val="none"/>
        </w:rPr>
        <w:t xml:space="preserve"> отказе в</w:t>
      </w:r>
      <w:r>
        <w:rPr>
          <w:sz w:val="28"/>
          <w:szCs w:val="28"/>
          <w:highlight w:val="none"/>
          <w14:ligatures w14:val="none"/>
        </w:rPr>
        <w:t xml:space="preserve"> утверждении (изменении) границ зон с особыми условиями использования территории (охранных зон газопроводов)</w:t>
      </w:r>
      <w:r>
        <w:rPr>
          <w:spacing w:val="2"/>
          <w:highlight w:val="none"/>
          <w14:ligatures w14:val="none"/>
        </w:rPr>
        <w:t xml:space="preserve">. В практике минимущества встречались случаи отказа в предоставлении услуги в отношении объекта,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который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 являлся объектом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газораспределительной сети</w:t>
      </w:r>
      <w:r>
        <w:rPr>
          <w:spacing w:val="2"/>
          <w:highlight w:val="none"/>
          <w14:ligatures w14:val="none"/>
        </w:rPr>
        <w:t xml:space="preserve">. Также в качестве основания для отказа проектом предусмотрен случай, когда заявителем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не представлены документы и (или) информация, предусмотренные пунктом 2.2 раздела 2 Порядка</w:t>
      </w:r>
      <w:r>
        <w:rPr>
          <w:spacing w:val="2"/>
          <w:highlight w:val="none"/>
          <w14:ligatures w14:val="none"/>
        </w:rPr>
        <w:t xml:space="preserve">.</w:t>
      </w:r>
      <w:r>
        <w:rPr>
          <w:spacing w:val="2"/>
          <w:highlight w:val="none"/>
          <w14:ligatures w14:val="none"/>
        </w:rPr>
      </w:r>
      <w:r>
        <w:rPr>
          <w:spacing w:val="2"/>
          <w14:ligatures w14:val="none"/>
        </w:rPr>
      </w:r>
    </w:p>
    <w:p>
      <w:pPr>
        <w:pStyle w:val="843"/>
        <w:ind w:firstLine="709"/>
        <w:jc w:val="both"/>
        <w:widowControl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Принятие проекта постановления не повлечет дополнительных расходов областного бюджета, </w:t>
      </w:r>
      <w:r>
        <w:rPr>
          <w:rFonts w:ascii="Times New Roman" w:hAnsi="Times New Roman"/>
          <w:sz w:val="28"/>
          <w:szCs w:val="28"/>
          <w:highlight w:val="white"/>
        </w:rPr>
        <w:t xml:space="preserve">а также внесение изменений в иные правовые акты либо их отмену.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43"/>
        <w:ind w:firstLine="709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Проект постановления направлен в прокуратуру Белгородской области. Замечания отсутствуют.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7"/>
        <w:ind w:firstLine="708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37"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40" w:vertAnchor="text" w:tblpY="351" w:leftFromText="180" w:topFromText="0" w:rightFromText="180" w:bottomFromText="0"/>
        <w:tblW w:w="981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03"/>
        <w:gridCol w:w="5212"/>
      </w:tblGrid>
      <w:tr>
        <w:tblPrEx/>
        <w:trPr>
          <w:trHeight w:val="11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3" w:type="dxa"/>
            <w:vAlign w:val="top"/>
            <w:textDirection w:val="lrTb"/>
            <w:noWrap w:val="false"/>
          </w:tcPr>
          <w:p>
            <w:pPr>
              <w:jc w:val="center"/>
              <w:spacing w:line="235" w:lineRule="auto"/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Первый з</w:t>
            </w:r>
            <w:r>
              <w:rPr>
                <w:b/>
                <w:bCs/>
                <w:sz w:val="28"/>
                <w:szCs w:val="28"/>
                <w:highlight w:val="white"/>
              </w:rPr>
              <w:t xml:space="preserve">аместитель министра области – начальник департамента государственного имущества и организационной работы министерства имущественных и земельных отношений Белгородской области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832"/>
              <w:ind w:left="0" w:right="34"/>
              <w:jc w:val="left"/>
              <w:widowControl w:val="off"/>
              <w:tabs>
                <w:tab w:val="left" w:pos="34" w:leader="none"/>
                <w:tab w:val="left" w:pos="264" w:leader="none"/>
                <w:tab w:val="left" w:pos="2880" w:leader="none"/>
              </w:tabs>
              <w:rPr>
                <w:b/>
                <w:sz w:val="28"/>
                <w:szCs w:val="28"/>
                <w:highlight w:val="white"/>
              </w:rPr>
              <w:framePr w:hSpace="180" w:wrap="around" w:vAnchor="text" w:hAnchor="margin" w:x="40" w:y="351"/>
            </w:pP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  <w:r>
              <w:rPr>
                <w:b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2" w:type="dxa"/>
            <w:vAlign w:val="top"/>
            <w:textDirection w:val="lrTb"/>
            <w:noWrap w:val="false"/>
          </w:tcPr>
          <w:p>
            <w:pPr>
              <w:pStyle w:val="836"/>
              <w:jc w:val="right"/>
              <w:spacing w:line="240" w:lineRule="auto"/>
              <w:rPr>
                <w:b/>
                <w:bCs/>
                <w:sz w:val="28"/>
                <w:szCs w:val="28"/>
                <w:highlight w:val="white"/>
              </w:rPr>
              <w:framePr w:hSpace="180" w:wrap="around" w:vAnchor="text" w:hAnchor="margin" w:x="40" w:y="351"/>
            </w:pPr>
            <w:r>
              <w:rPr>
                <w:b/>
                <w:bCs/>
                <w:sz w:val="28"/>
                <w:szCs w:val="28"/>
                <w:highlight w:val="white"/>
                <w:lang w:val="ru-RU" w:eastAsia="ru-RU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836"/>
              <w:jc w:val="left"/>
              <w:spacing w:line="240" w:lineRule="auto"/>
              <w:rPr>
                <w:b/>
                <w:bCs/>
                <w:sz w:val="28"/>
                <w:szCs w:val="28"/>
                <w:highlight w:val="white"/>
              </w:rPr>
              <w:framePr w:hSpace="180" w:wrap="around" w:vAnchor="text" w:hAnchor="margin" w:x="40" w:y="351"/>
            </w:pPr>
            <w:r>
              <w:rPr>
                <w:b/>
                <w:bCs/>
                <w:sz w:val="28"/>
                <w:szCs w:val="28"/>
                <w:highlight w:val="white"/>
                <w:lang w:val="ru-RU" w:eastAsia="ru-RU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836"/>
              <w:jc w:val="right"/>
              <w:spacing w:line="240" w:lineRule="auto"/>
              <w:rPr>
                <w:b/>
                <w:bCs/>
                <w:sz w:val="28"/>
                <w:szCs w:val="28"/>
                <w:highlight w:val="white"/>
              </w:rPr>
              <w:framePr w:hSpace="180" w:wrap="around" w:vAnchor="text" w:hAnchor="margin" w:x="40" w:y="351"/>
            </w:pPr>
            <w:r>
              <w:rPr>
                <w:b/>
                <w:bCs/>
                <w:sz w:val="28"/>
                <w:szCs w:val="28"/>
                <w:highlight w:val="white"/>
                <w:lang w:val="ru-RU" w:eastAsia="ru-RU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836"/>
              <w:spacing w:line="240" w:lineRule="auto"/>
              <w:rPr>
                <w:b/>
                <w:bCs/>
                <w:sz w:val="28"/>
                <w:szCs w:val="28"/>
                <w:highlight w:val="white"/>
              </w:rPr>
              <w:framePr w:hSpace="180" w:wrap="around" w:vAnchor="text" w:hAnchor="margin" w:x="40" w:y="351"/>
            </w:pPr>
            <w:r>
              <w:rPr>
                <w:b/>
                <w:bCs/>
                <w:sz w:val="28"/>
                <w:szCs w:val="28"/>
                <w:highlight w:val="white"/>
                <w:lang w:val="ru-RU" w:eastAsia="ru-RU"/>
              </w:rPr>
              <w:t xml:space="preserve">     </w:t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836"/>
              <w:jc w:val="right"/>
              <w:spacing w:line="240" w:lineRule="auto"/>
              <w:rPr>
                <w:b/>
                <w:bCs/>
                <w:sz w:val="28"/>
                <w:szCs w:val="28"/>
                <w:highlight w:val="white"/>
              </w:rPr>
              <w:framePr w:hSpace="180" w:wrap="around" w:vAnchor="text" w:hAnchor="margin" w:x="40" w:y="351"/>
            </w:pPr>
            <w:r>
              <w:rPr>
                <w:b/>
                <w:bCs/>
                <w:sz w:val="28"/>
                <w:szCs w:val="28"/>
                <w:highlight w:val="white"/>
                <w:lang w:val="ru-RU" w:eastAsia="ru-RU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836"/>
              <w:jc w:val="right"/>
              <w:spacing w:line="240" w:lineRule="auto"/>
              <w:rPr>
                <w:b/>
                <w:bCs/>
                <w:sz w:val="28"/>
                <w:szCs w:val="28"/>
                <w:highlight w:val="white"/>
              </w:rPr>
              <w:framePr w:hSpace="180" w:wrap="around" w:vAnchor="text" w:hAnchor="margin" w:x="40" w:y="351"/>
            </w:pPr>
            <w:r>
              <w:rPr>
                <w:b/>
                <w:bCs/>
                <w:sz w:val="28"/>
                <w:szCs w:val="28"/>
                <w:highlight w:val="white"/>
                <w:lang w:val="ru-RU" w:eastAsia="ru-RU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836"/>
              <w:jc w:val="right"/>
              <w:spacing w:line="240" w:lineRule="auto"/>
              <w:rPr>
                <w:b/>
                <w:bCs/>
                <w:sz w:val="28"/>
                <w:szCs w:val="28"/>
                <w:highlight w:val="none"/>
              </w:rPr>
              <w:framePr w:hSpace="180" w:wrap="around" w:vAnchor="text" w:hAnchor="margin" w:x="40" w:y="351"/>
            </w:pPr>
            <w:r>
              <w:rPr>
                <w:b/>
                <w:bCs/>
                <w:sz w:val="28"/>
                <w:szCs w:val="28"/>
                <w:highlight w:val="white"/>
                <w:lang w:val="ru-RU" w:eastAsia="ru-RU"/>
              </w:rPr>
              <w:t xml:space="preserve">Ю.Н. Выродова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396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8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paragraph" w:styleId="836">
    <w:name w:val="Основной текст"/>
    <w:basedOn w:val="832"/>
    <w:next w:val="836"/>
    <w:link w:val="841"/>
    <w:pPr>
      <w:jc w:val="both"/>
      <w:spacing w:line="360" w:lineRule="auto"/>
    </w:pPr>
    <w:rPr>
      <w:lang w:val="en-US" w:eastAsia="en-US"/>
    </w:rPr>
  </w:style>
  <w:style w:type="paragraph" w:styleId="837">
    <w:name w:val="Основной текст с отступом"/>
    <w:basedOn w:val="832"/>
    <w:next w:val="837"/>
    <w:link w:val="842"/>
    <w:pPr>
      <w:ind w:firstLine="720"/>
      <w:jc w:val="both"/>
    </w:pPr>
  </w:style>
  <w:style w:type="paragraph" w:styleId="838">
    <w:name w:val="Основной текст 2"/>
    <w:basedOn w:val="832"/>
    <w:next w:val="838"/>
    <w:link w:val="832"/>
    <w:pPr>
      <w:jc w:val="center"/>
    </w:pPr>
    <w:rPr>
      <w:sz w:val="26"/>
    </w:rPr>
  </w:style>
  <w:style w:type="paragraph" w:styleId="839">
    <w:name w:val="Текст выноски"/>
    <w:basedOn w:val="832"/>
    <w:next w:val="839"/>
    <w:link w:val="832"/>
    <w:semiHidden/>
    <w:rPr>
      <w:rFonts w:ascii="Tahoma" w:hAnsi="Tahoma" w:cs="Tahoma"/>
      <w:sz w:val="16"/>
      <w:szCs w:val="16"/>
    </w:rPr>
  </w:style>
  <w:style w:type="table" w:styleId="840">
    <w:name w:val="Сетка таблицы"/>
    <w:basedOn w:val="834"/>
    <w:next w:val="840"/>
    <w:link w:val="832"/>
    <w:tblPr/>
  </w:style>
  <w:style w:type="character" w:styleId="841">
    <w:name w:val="Основной текст Знак"/>
    <w:next w:val="841"/>
    <w:link w:val="836"/>
    <w:rPr>
      <w:sz w:val="28"/>
    </w:rPr>
  </w:style>
  <w:style w:type="character" w:styleId="842">
    <w:name w:val="Основной текст с отступом Знак"/>
    <w:next w:val="842"/>
    <w:link w:val="837"/>
    <w:rPr>
      <w:sz w:val="28"/>
    </w:rPr>
  </w:style>
  <w:style w:type="paragraph" w:styleId="843">
    <w:name w:val="ConsPlusNormal"/>
    <w:next w:val="843"/>
    <w:link w:val="832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44">
    <w:name w:val="ConsPlusTitle"/>
    <w:next w:val="844"/>
    <w:link w:val="832"/>
    <w:pPr>
      <w:widowControl w:val="off"/>
    </w:pPr>
    <w:rPr>
      <w:rFonts w:ascii="Arial" w:hAnsi="Arial"/>
      <w:b/>
      <w:bCs/>
      <w:lang w:val="ru-RU" w:eastAsia="ru-RU" w:bidi="ar-SA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  <w:style w:type="paragraph" w:styleId="848" w:customStyle="1">
    <w:name w:val="Body Text Indent"/>
    <w:basedOn w:val="702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50" w:customStyle="1">
    <w:name w:val="Style5"/>
    <w:basedOn w:val="706"/>
    <w:pPr>
      <w:contextualSpacing w:val="0"/>
      <w:ind w:left="0" w:right="0" w:hanging="346"/>
      <w:jc w:val="left"/>
      <w:keepLines w:val="0"/>
      <w:keepNext w:val="0"/>
      <w:pageBreakBefore w:val="0"/>
      <w:spacing w:before="0" w:beforeAutospacing="0" w:after="0" w:afterAutospacing="0" w:line="31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CVR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cgtw</dc:title>
  <dc:creator>N236_2</dc:creator>
  <cp:lastModifiedBy>lebedeva_ev</cp:lastModifiedBy>
  <cp:revision>17</cp:revision>
  <dcterms:created xsi:type="dcterms:W3CDTF">2023-10-30T12:15:00Z</dcterms:created>
  <dcterms:modified xsi:type="dcterms:W3CDTF">2026-02-04T12:33:37Z</dcterms:modified>
  <cp:version>917504</cp:version>
</cp:coreProperties>
</file>