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E4" w:rsidRDefault="002F44E4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44E4" w:rsidRDefault="002F44E4">
      <w:pPr>
        <w:pStyle w:val="ConsPlusNormal"/>
        <w:jc w:val="both"/>
        <w:outlineLvl w:val="0"/>
      </w:pPr>
    </w:p>
    <w:p w:rsidR="002F44E4" w:rsidRDefault="002F44E4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2F44E4" w:rsidRDefault="002F44E4">
      <w:pPr>
        <w:pStyle w:val="ConsPlusTitle"/>
        <w:jc w:val="both"/>
      </w:pPr>
    </w:p>
    <w:p w:rsidR="002F44E4" w:rsidRDefault="002F44E4">
      <w:pPr>
        <w:pStyle w:val="ConsPlusTitle"/>
        <w:jc w:val="center"/>
      </w:pPr>
      <w:r>
        <w:t>ПОСТАНОВЛЕНИЕ</w:t>
      </w:r>
    </w:p>
    <w:p w:rsidR="002F44E4" w:rsidRDefault="002F44E4">
      <w:pPr>
        <w:pStyle w:val="ConsPlusTitle"/>
        <w:jc w:val="center"/>
      </w:pPr>
      <w:r>
        <w:t>от 4 мая 2022 г. N 258-пп</w:t>
      </w:r>
    </w:p>
    <w:p w:rsidR="002F44E4" w:rsidRDefault="002F44E4">
      <w:pPr>
        <w:pStyle w:val="ConsPlusTitle"/>
        <w:jc w:val="both"/>
      </w:pPr>
    </w:p>
    <w:p w:rsidR="002F44E4" w:rsidRDefault="002F44E4">
      <w:pPr>
        <w:pStyle w:val="ConsPlusTitle"/>
        <w:jc w:val="center"/>
      </w:pPr>
      <w:r>
        <w:t>ОБ УТВЕРЖДЕНИИ ПРАВИЛ РАЦИОНАЛЬНОГО ИСПОЛЬЗОВАНИЯ</w:t>
      </w:r>
    </w:p>
    <w:p w:rsidR="002F44E4" w:rsidRDefault="002F44E4">
      <w:pPr>
        <w:pStyle w:val="ConsPlusTitle"/>
        <w:jc w:val="center"/>
      </w:pPr>
      <w:r>
        <w:t>ЗЕМЕЛЬ СЕЛЬСКОХОЗЯЙСТВЕННОГО НАЗНАЧЕНИЯ</w:t>
      </w:r>
    </w:p>
    <w:p w:rsidR="002F44E4" w:rsidRDefault="002F44E4">
      <w:pPr>
        <w:pStyle w:val="ConsPlusTitle"/>
        <w:jc w:val="center"/>
      </w:pPr>
      <w:r>
        <w:t>НА ТЕРРИТОРИИ БЕЛГОРОДСКОЙ ОБЛАСТИ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8</w:t>
        </w:r>
      </w:hyperlink>
      <w:r>
        <w:t xml:space="preserve">, </w:t>
      </w:r>
      <w:hyperlink r:id="rId6">
        <w:r>
          <w:rPr>
            <w:color w:val="0000FF"/>
          </w:rPr>
          <w:t>21</w:t>
        </w:r>
      </w:hyperlink>
      <w:r>
        <w:t xml:space="preserve"> Федерального закона от 16 июля 1998 года N 101-ФЗ "О государственном регулировании обеспечения плодородия земель сельскохозяйственного назначения", </w:t>
      </w:r>
      <w:hyperlink r:id="rId7">
        <w:r>
          <w:rPr>
            <w:color w:val="0000FF"/>
          </w:rPr>
          <w:t>пунктом 3 статьи 3</w:t>
        </w:r>
      </w:hyperlink>
      <w:r>
        <w:t xml:space="preserve"> закона Белгородской области от 18 июня 2020 года N 488 "Об обеспечении плодородия земель сельскохозяйственного назначения на территории Белгородской области" и 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постановляет: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правила</w:t>
        </w:r>
      </w:hyperlink>
      <w:r>
        <w:t xml:space="preserve"> рационального использования земель сельскохозяйственного назначения на территории Белгородской области (прилагаются).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>2. Министерству имущественных и земельных отношений Белгородской области (Зайнуллин Р.Ш.) совместно с ОГБУ "Белгородский земельный фонд" (Синяков В.Н.) обеспечить в установленном порядке внесение соответствующих изменений в раздел "Права и обязанности арендатора" договоров аренды земельных участков и долей в праве собственности на земельные участки сельскохозяйственного назначения, находящихся в собственности Белгородской области, в части обязанности арендаторов соблюдать правила рационального использования земель сельскохозяйственного назначения на территории Белгородской области.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26 января 2015 года N 14-пп "Об утверждении Кодекса добросовестного землепользователя Белгородской области".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>4. Контроль за исполнением постановления возложить на заместителя Губернатора Белгородской области Щедрину Ю.Е.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right"/>
      </w:pPr>
      <w:r>
        <w:t>Губернатор Белгородской области</w:t>
      </w:r>
    </w:p>
    <w:p w:rsidR="002F44E4" w:rsidRDefault="002F44E4">
      <w:pPr>
        <w:pStyle w:val="ConsPlusNormal"/>
        <w:jc w:val="right"/>
      </w:pPr>
      <w:r>
        <w:t>В.В.ГЛАДКОВ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right"/>
        <w:outlineLvl w:val="0"/>
      </w:pPr>
      <w:r>
        <w:t>Приложение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right"/>
      </w:pPr>
      <w:r>
        <w:t>Утверждены</w:t>
      </w:r>
    </w:p>
    <w:p w:rsidR="002F44E4" w:rsidRDefault="002F44E4">
      <w:pPr>
        <w:pStyle w:val="ConsPlusNormal"/>
        <w:jc w:val="right"/>
      </w:pPr>
      <w:r>
        <w:t>постановлением</w:t>
      </w:r>
    </w:p>
    <w:p w:rsidR="002F44E4" w:rsidRDefault="002F44E4">
      <w:pPr>
        <w:pStyle w:val="ConsPlusNormal"/>
        <w:jc w:val="right"/>
      </w:pPr>
      <w:r>
        <w:t>Правительства Белгородской области</w:t>
      </w:r>
    </w:p>
    <w:p w:rsidR="002F44E4" w:rsidRDefault="002F44E4">
      <w:pPr>
        <w:pStyle w:val="ConsPlusNormal"/>
        <w:jc w:val="right"/>
      </w:pPr>
      <w:r>
        <w:t>от 4 мая 2022 г. N 258-пп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Title"/>
        <w:jc w:val="center"/>
      </w:pPr>
      <w:bookmarkStart w:id="1" w:name="P36"/>
      <w:bookmarkEnd w:id="1"/>
      <w:r>
        <w:t>ПРАВИЛА</w:t>
      </w:r>
    </w:p>
    <w:p w:rsidR="002F44E4" w:rsidRDefault="002F44E4">
      <w:pPr>
        <w:pStyle w:val="ConsPlusTitle"/>
        <w:jc w:val="center"/>
      </w:pPr>
      <w:r>
        <w:lastRenderedPageBreak/>
        <w:t>РАЦИОНАЛЬНОГО ИСПОЛЬЗОВАНИЯ ЗЕМЕЛЬ СЕЛЬСКОХОЗЯЙСТВЕННОГО</w:t>
      </w:r>
    </w:p>
    <w:p w:rsidR="002F44E4" w:rsidRDefault="002F44E4">
      <w:pPr>
        <w:pStyle w:val="ConsPlusTitle"/>
        <w:jc w:val="center"/>
      </w:pPr>
      <w:r>
        <w:t>НАЗНАЧЕНИЯ НА ТЕРРИТОРИИ БЕЛГОРОДСКОЙ ОБЛАСТИ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ind w:firstLine="540"/>
        <w:jc w:val="both"/>
      </w:pPr>
      <w:r>
        <w:t>1. Правила рационального использования земель сельскохозяйственного назначения на территории Белгородской области (далее - Правила) разработаны в целях охраны земель (земельных участков) сельскохозяйственного назначения, включающей в себя предотвращение и ликвидацию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 (земельных участков) сельскохозяйственного назначения.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2. Правила устанавливают обязательные требования к собственникам, владельцам, пользователям, арендаторам земель (земельных участков) сельскохозяйственного назначения по рациональному использованию земель (земельных участков) сельскохозяйственного назначения в Белгородской области.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3. Правила регламентируют деятельность собственников, владельцев, пользователей, арендаторов земель (земельных участков) сельскохозяйственного назначения, направленную на сохранение и восстановление плодородия почв, увеличение урожайности сельскохозяйственных культур и, как следствие, увеличение объемов производства сельскохозяйственной продукции.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4. Требования Правил обязательны для собственников, владельцев, пользователей, арендаторов земель (земельных участков) сельскохозяйственного назначения на территории Белгородской области.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5. Действие Правил распространяется на использование земель сельскохозяйственного назначения, за исключением садовых и огородных земельных участков, земель сельскохозяйственного назначения, непосредственно занятых 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аквакультуры), а также зданиями, сооружениями, используемыми для производства, хранения и первичной переработки сельскохозяйственной продукции.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 xml:space="preserve">6. Понятия, используемые в Правилах, соответствуют понятиям, установленным в </w:t>
      </w:r>
      <w:hyperlink r:id="rId9">
        <w:r>
          <w:rPr>
            <w:color w:val="0000FF"/>
          </w:rPr>
          <w:t>законе</w:t>
        </w:r>
      </w:hyperlink>
      <w:r>
        <w:t xml:space="preserve"> Белгородской области от 18 июня 2020 года N 488 "Об обеспечении плодородия земель сельскохозяйственного назначения на территории Белгородской области", ГОСТ 16265-89 "Земледелие. Термины и определения", ГОСТ 17.5.1.06-84 "Охрана природы. Земли. Классификация малопродуктивных угодий для землевания":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рациональное использование земель (земельных участков) сельскохозяйственного назначения - использование земель (земельных участков) сельскохозяйственного назначения их собственниками, владельцами, пользователями, арендаторами в процессе производства сельскохозяйственной продукции с соблюдением научно обоснованных технологий, методов обработки и возделывания сельскохозяйственных культур, предотвращающих загрязнение, истощение и иное негативное воздействие на земли и почвы, способствующих восстановлению плодородия почв;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деградация земель сельскохозяйственного назначения - ухудшение свойств земель сельскохозяйственного назначения в результате природного и антропогенного воздействий;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севооборот - научно обоснованное чередование сельскохозяйственных культур и пара (чистого и сидерального пара) во времени и на территории или только во времени на одном поле, которое способствует пополнению и эффективному использованию элементов питания почвы, поддержанию благоприятных физических, физико-химических, химических свойств почвы, повышению плодородия почвы и урожайности сельскохозяйственных культур;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 xml:space="preserve">- проект адаптивно-ландшафтной системы земледелия и охраны почв - вид </w:t>
      </w:r>
      <w:r>
        <w:lastRenderedPageBreak/>
        <w:t>землеустроительной документации, включающий в себя комплекс мероприятий по организации использования и охране земель, направленных на производство продукции растениеводства с учетом экономических и материальных ресурсов и обеспечивающих устойчивость агроландшафта и воспроизводство почвенного плодородия;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многолетние травы - группа трав из семейства злаковых и бобовых, произрастающих на одном месте в течение ряда лет;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эрозионно опасные участки - участки земель, которые при неправильном использовании подвергаются эрозии;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малопродуктивные участки - угодья, характеризующиеся низким естественным плодородием почв за счет выраженности неблагоприятных свойств: песчаного или супесчаного механического состава, маломощности почвенного профиля, степени эродированности, солонцеватости, засоленности, оглеения, щебнистости, каменистости, высокой кислотности или щелочности, а также обедненности органическим веществом и питательными элементами;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сильносмытые участки угодий - участки угодий, на которых смытость гумусовых горизонтов составляет от 50 до 75 процентов;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чистый пар - поле, свободное от возделываемых сельскохозяйственных культур в течение определенного периода времени и систематически обрабатываемое в целях борьбы с сорняками;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сидеральный пар - поле, используемое для возделывания культур на зеленое удобрение;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- уполномоченный орган - министерство сельского хозяйства и продовольствия Белгородской области.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7. В целях обеспечения рационального использования земель (земельных участков) сельскохозяйственного назначения собственники, владельцы, пользователи, арендаторы земель (земельных участков) сельскохозяйственного назначения обязаны: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1) не допускать деградацию земель сельскохозяйственного назначения, находящихся в их владении или пользовании;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2) информировать уполномоченный орган о фактах деградации земель сельскохозяйственного назначения и загрязнения почв на земельных участках, находящихся в их владении или пользовании, в порядке, определенном уполномоченным органом;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3) не допускать снижения плодородия почв ниже уровня, зафиксированного результатами последнего тура агрохимического обследования, проведенного специализированными организациями, имеющими в соответствии с федеральным законодательством право на проведение такого обследования, по следующим агрохимическим показателям: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а) снижение содержания органического вещества в пахотном горизонте на 15 процентов или более;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б) снижение кислотности в кислых почвах (pH KCl) на 10 процентов или более;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в) повышение щелочности в щелочных почвах (pH H</w:t>
      </w:r>
      <w:r>
        <w:rPr>
          <w:vertAlign w:val="subscript"/>
        </w:rPr>
        <w:t>2</w:t>
      </w:r>
      <w:r>
        <w:t>O) на 10 процентов или более;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г) снижение содержания подвижного фосфора в почве на 25 процентов или более при содержании подвижного фосфора менее 100 мг/кг почвы (по методу Чирикова) и менее 30 мг/кг почвы (по методу Мачигина);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 xml:space="preserve">д) снижение содержания подвижного калия в почве на 25 процентов или более при содержании подвижного калия менее 80 мг/кг почвы (по методу Чирикова) и менее 300 мг/кг почвы </w:t>
      </w:r>
      <w:r>
        <w:lastRenderedPageBreak/>
        <w:t>(по методу Мачигина);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4) не допускать выжигания сухой травянистой и древесно-кустарниковой растительности, стерни, пожнивных остатков и побочной продукции сельскохозяйственных культур на землях (земельных участках) сельскохозяйственного назначения;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5) не допускать зарастания земель (земельных участков) сельскохозяйственного назначения сорной и древесно-кустарниковой растительностью, захламления бытовыми и производственными отходами;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6) не допускать выращивания сельскохозяйственных культур на сенокосах и пастбищах в водоохранной зоне водных объектов, за исключением выращивания многолетних трав;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7) содействовать проведению почвенного, агрохимического, фитосанитарного и эколого-токсикологического обследования земель (земельных участков) сельскохозяйственного назначения;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8) проводить не реже одного раза в пять лет агрохимическое обследование земель (земельных участков) сельскохозяйственного назначения с привлечением специализированных организаций, имеющих в соответствии с федеральным законодательством право на проведение такого обследования, с целью формирования полной и достоверной информации о состоянии и динамике плодородия указанных земель (земельных участков);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9) разрабатывать и согласовывать в установленном порядке планы-графики внесения органических удобрений и планы-графики применения пестицидов в порядке, утвержденном Правительством Белгородской области;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 xml:space="preserve">10) использовать способы внесения жидких и </w:t>
      </w:r>
      <w:proofErr w:type="gramStart"/>
      <w:r>
        <w:t>твердых органических удобрений</w:t>
      </w:r>
      <w:proofErr w:type="gramEnd"/>
      <w:r>
        <w:t xml:space="preserve"> и компостов на их основе, в том числе эффлюентов, обеспечивающие воспроизводство почвенного плодородия: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а) осуществлять расчет доз органических удобрений с учетом вида сельскохозяйственной культуры и плодородия каждого отдельного поля согласно ГОСТ Р 53117-2008;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б) не допускать внесения органических удобрений на участки без наличия согласованного плана-графика внесения удобрений в порядке, установленном уполномоченным органом;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в) не допускать поверхностного внесения жидких органических удобрений без одновременной их заделки в почву, за исключением поверхностного внесения жидких органических удобрений по посевам многолетних трав;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г) обеспечивать механическую заделку в почву органических удобрений на основе птичьего помета не позднее 2 часов с момента их внесения;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д) не допускать внесения органических удобрений при температуре атмосферного воздуха более 25 градусов Цельсия;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е) производить внесение органических удобрений в зимний период года только в случае погодных условий, позволяющих осуществлять заделку удобрений в почву на земли, имеющие уклон менее 1 градуса, при условии проведения агротехнических мероприятий, направленных на предотвращение вреда окружающей среде, и оповещение уполномоченного органа не позднее чем за 1 день до внесения;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 xml:space="preserve">ж) не допускать осуществления работ по внесению органических удобрений неисправными транспортными средствами и оборудованием. Транспортные средства, задействованные для внесения жидких органических удобрений, должны быть оборудованы аппаратурой спутниковой навигации и техническими средствами учета фактической отгрузки органических удобрений в </w:t>
      </w:r>
      <w:r>
        <w:lastRenderedPageBreak/>
        <w:t>единицу времени;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з) производить внесение органических удобрений на одни и те же участки ежегодно только после проведения мониторинга состояния почв на этих участках по расширенному перечню показателей (экологические, гигиенические, санитарно-микробиологические);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11) разрабатывать проекты адаптивно-ландшафтной системы земледелия и охраны почв в порядке, утвержденном Правительством Белгородской области;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12) осуществлять мероприятия по сохранению и воспроизводству плодородия почв земель (земельных участков) сельскохозяйственного назначения, в том числе мелиорированных земель, по охране почв от ветровой и водной эрозии в соответствии с проектами адаптивно-ландшафтной системы земледелия и охраны почв: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а) соблюдать направление обработки почв и посева сельскохозяйственных культур;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б) осуществлять залужение эрозионно опасных, малопродуктивных и сильно смытых участков;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в) осуществлять мероприятия по химической мелиорации и агролесомелиорации земель;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г) осуществлять строительство противоэрозионных гидротехнических сооружений;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13) с целью недопущения возделывания и чередования культур в севообороте, способствующих распространению вредителей и возбудителей болезней растений, соблюдать систему севооборотов в соответствии с проектами адаптивно-ландшафтной системы земледелия и охраны почв;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14) не допускать вовлечение в сельскохозяйственный оборот земельных участков, в пределах которых располагаются объекты культурного наследия (курганные памятники и скифские захоронения);</w:t>
      </w:r>
    </w:p>
    <w:p w:rsidR="002F44E4" w:rsidRDefault="002F44E4">
      <w:pPr>
        <w:pStyle w:val="ConsPlusNormal"/>
        <w:spacing w:before="220"/>
        <w:ind w:firstLine="540"/>
        <w:jc w:val="both"/>
      </w:pPr>
      <w:r>
        <w:t>15) осуществлять мероприятия по своевременному восстановлению, очистке от молодой поросли, сухостоя и мусора, проводить иные мероприятия в границах земельных участках, направленные на сохранение (восстановление) защитных лесных насаждений.</w:t>
      </w: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jc w:val="both"/>
      </w:pPr>
    </w:p>
    <w:p w:rsidR="002F44E4" w:rsidRDefault="002F44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03414C" w:rsidRDefault="0003414C"/>
    <w:sectPr w:rsidR="0003414C" w:rsidSect="00D1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E4"/>
    <w:rsid w:val="0003414C"/>
    <w:rsid w:val="002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635D-B11B-4D01-B064-53C0EA35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4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44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19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103653&amp;dst=100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629&amp;dst=1001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629&amp;dst=4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103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2025-05-13T07:54:00Z</dcterms:created>
  <dcterms:modified xsi:type="dcterms:W3CDTF">2025-05-13T07:54:00Z</dcterms:modified>
</cp:coreProperties>
</file>