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Управление экологического и охотничьего надзора Белгородской области</w:t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«Об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утверждении требований по предотвращению гибели объектов животного мира при осуществлении произ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на территории Белгородской области и признании утратившим силу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постановления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Правительства Белгородской области от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16 февраля 2015 года № 54-пп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»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cs="Times New Roman"/>
          <w:sz w:val="26"/>
          <w:szCs w:val="26"/>
        </w:rPr>
        <w:t xml:space="preserve">акта: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начало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«28» августа 2025 г., окончание «10» сентября 2025 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</w:t>
      </w:r>
      <w:r>
        <w:rPr>
          <w:rFonts w:ascii="Times New Roman" w:hAnsi="Times New Roman" w:cs="Times New Roman"/>
          <w:sz w:val="26"/>
          <w:szCs w:val="26"/>
        </w:rPr>
        <w:t xml:space="preserve">та: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709"/>
        <w:jc w:val="both"/>
        <w:rPr>
          <w:rFonts w:ascii="Times New Roman" w:hAnsi="Times New Roman" w:eastAsia="Calibri" w:cs="Times New Roman"/>
          <w:bCs/>
          <w:i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Средняя. Проект нормативного правового акта содержит положение, дополняющие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требования постановления Правительства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Российской Федерации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  <w:br/>
        <w:t xml:space="preserve">от 31 мая 2025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года № 813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«Об утверждении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требований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с учетом природных особенностей Белгородской области.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Посохов Алексей Евгеньевич</w:t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Должность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: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начальник отдела учета и анализа объектов животного мира </w:t>
        <w:br/>
        <w:t xml:space="preserve">и среды их обитания управления экологического и охотничьего надзора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(4722) </w:t>
      </w:r>
      <w:r>
        <w:rPr>
          <w:rFonts w:ascii="Times New Roman" w:hAnsi="Times New Roman" w:eastAsia="Times New Roman"/>
          <w:i/>
          <w:iCs/>
          <w:sz w:val="24"/>
          <w:szCs w:val="24"/>
          <w:u w:val="single"/>
          <w:lang w:eastAsia="ru-RU"/>
        </w:rPr>
        <w:t xml:space="preserve">73-25-93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;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:</w:t>
      </w:r>
      <w:r>
        <w:rPr>
          <w:rFonts w:ascii="Times New Roman" w:hAnsi="Times New Roman" w:cs="Times New Roman"/>
          <w:i/>
          <w:iCs/>
          <w:color w:val="00b050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eastAsia="ru-RU"/>
        </w:rPr>
        <w:t xml:space="preserve">P</w:t>
      </w:r>
      <w:hyperlink r:id="rId11" w:tooltip="mailto:pr.есoohotnadzor@belregion.ru" w:history="1"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val="en-US" w:eastAsia="ru-RU"/>
          </w:rPr>
          <w:t xml:space="preserve">r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eastAsia="ru-RU"/>
          </w:rPr>
          <w:t xml:space="preserve">.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eastAsia="ru-RU"/>
          </w:rPr>
          <w:t xml:space="preserve">ес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val="en-US" w:eastAsia="ru-RU"/>
          </w:rPr>
          <w:t xml:space="preserve">oohotnadzor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eastAsia="ru-RU"/>
          </w:rPr>
          <w:t xml:space="preserve">@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val="en-US" w:eastAsia="ru-RU"/>
          </w:rPr>
          <w:t xml:space="preserve">belregion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eastAsia="ru-RU"/>
          </w:rPr>
          <w:t xml:space="preserve">.</w:t>
        </w:r>
        <w:r>
          <w:rPr>
            <w:rFonts w:ascii="Times New Roman" w:hAnsi="Times New Roman" w:eastAsia="Calibri" w:cs="Times New Roman"/>
            <w:i/>
            <w:iCs/>
            <w:sz w:val="26"/>
            <w:szCs w:val="26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 w:eastAsiaTheme="minorEastAsia"/>
          <w:bCs/>
          <w:i/>
          <w:sz w:val="26"/>
          <w:szCs w:val="26"/>
          <w:u w:val="single"/>
          <w:lang w:eastAsia="ru-RU"/>
          <w14:ligatures w14:val="none"/>
        </w:rPr>
      </w:pP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С учетом природно-климатических особенностей Белгородской области </w:t>
        <w:br/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в весенний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и осенний периоды про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ходит массовая миграция водоплавающих </w:t>
        <w:br/>
        <w:t xml:space="preserve">и околоводных птиц.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И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з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менение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 уровня воды в водных объектах </w:t>
        <w:br/>
        <w:t xml:space="preserve">и  гидросооружениях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оказывает значительное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 влияние на экологические условия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мест обитания указанных видов птиц.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 Учитывая специфику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маловодности региона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приоритетной задачей является обеспечение защиты и сохранение необходимых условий обитания, способствующих успешной миграции и размн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ожению птиц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</w:r>
      <w:r/>
    </w:p>
    <w:p>
      <w:pPr>
        <w:ind w:firstLine="709"/>
        <w:jc w:val="both"/>
        <w:rPr>
          <w:rFonts w:ascii="Times New Roman" w:hAnsi="Times New Roman" w:cs="Times New Roman" w:eastAsiaTheme="minorEastAsia"/>
          <w:bCs/>
          <w:i/>
          <w:sz w:val="26"/>
          <w:szCs w:val="26"/>
          <w:u w:val="single"/>
          <w:lang w:eastAsia="ru-RU"/>
          <w14:ligatures w14:val="none"/>
        </w:rPr>
      </w:pP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Для достижения ука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занной цели представляется необходимым своевременное согласование режимов регулирования уровня воды в водных объектах. Конкретные сроки начала и завершения периода согласования изменений уровня воды устанавливаются согласно письму Федерального государствен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ного бюджетного учреждения «Государственный заповедник «Белогорье» от 24 июля 2025 года № 191, содержащему сведения о динамике миграционных процессов и периодах размножения водоплавающих и околоводных видов птиц.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анная проблема выявлена в результате мониторинг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 общественных инициатив, нап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равленных на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предотвращения гибели объектов животного ми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ра, обитающих в условиях естественной свободы, в рез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ультате изменения среды обитания и нарушения путей миграции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.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 Негативные эффекты, возникающие в связи с наличием рассматриваемой проблемы: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41"/>
        <w:ind w:firstLine="709"/>
        <w:jc w:val="both"/>
        <w:rPr>
          <w:rFonts w:ascii="Times New Roman" w:hAnsi="Times New Roman" w:cs="Times New Roman" w:eastAsiaTheme="minorEastAsia"/>
          <w:bCs/>
          <w:i/>
          <w:sz w:val="26"/>
          <w:szCs w:val="26"/>
          <w:highlight w:val="none"/>
          <w:u w:val="singl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есвоевременное предотвращении гибели животных, обитающих в условиях естественной свободы, при снижении уровня воды в водоемах в периоды массовой миграции и размножения 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егативно сказывается на экологии региона.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 связи с принятием постановления Пра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вительства Россий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ской Федерации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  <w:br/>
        <w:t xml:space="preserve">от 31 мая 2025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года № 813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«Об утверждении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требований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»</w:t>
      </w:r>
      <w:r>
        <w:rPr>
          <w:rFonts w:ascii="Times New Roman" w:hAnsi="Times New Roman" w:eastAsia="Calibri" w:cs="Times New Roman"/>
          <w:i/>
          <w:sz w:val="26"/>
          <w:szCs w:val="26"/>
          <w:highlight w:val="none"/>
          <w:u w:val="single"/>
        </w:rPr>
        <w:t xml:space="preserve"> аналогичные нормативные акты разрабатываются на уровне всех</w:t>
      </w:r>
      <w:r>
        <w:rPr>
          <w:rFonts w:ascii="Times New Roman" w:hAnsi="Times New Roman" w:eastAsia="Calibri" w:cs="Times New Roman"/>
          <w:i/>
          <w:sz w:val="26"/>
          <w:szCs w:val="26"/>
          <w:highlight w:val="yellow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highlight w:val="none"/>
          <w:u w:val="single"/>
        </w:rPr>
        <w:t xml:space="preserve">субъектов Российской Федерации.</w:t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Цели вводимого правового регулирования и измеримые показатели их достижения: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Предотвращение гибели объектов животного ми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ра, обитающих в условиях естественной свободы, в рез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ультате изменения среды обитания и нарушения путей миграции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 обеспечение защиты и сохранение условий обитания, способствующих успешной миграции и размн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ожению околоводных и водоплавающих животных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.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 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постановления Пра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вительства Россий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ской Федерации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  <w:br/>
        <w:t xml:space="preserve">от 31 мая 2025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года № 813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«Об утверждении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требований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».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14:ligatures w14:val="none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Декабрь 2025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Отсутствует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 Описание предлагаемого правового регулиро</w:t>
      </w:r>
      <w:r>
        <w:rPr>
          <w:rFonts w:ascii="Times New Roman" w:hAnsi="Times New Roman" w:cs="Times New Roman"/>
          <w:sz w:val="26"/>
          <w:szCs w:val="26"/>
        </w:rPr>
        <w:t xml:space="preserve">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u w:val="single"/>
          <w14:ligatures w14:val="non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Проектом постановления Правительства Белгородской области 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Утверждаются требования по предотвращению гибели объектов животного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мира при осуществлении производственных процессов, а также при эксплуатации транспортных магистралей, труб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опроводов и линий связи и электропе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редачи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на террито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рии Белгородской области. Данный нормативный акт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регламентирует производственную и хозяйственную деятельность на т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ерритории Белгородской области с учетом природных особенностей.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При осуществлении промышленных и водохозяйственных производственных процессов 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зменение уровня воды в гидросооружениях, в том числе и водохранилищ, в период массовых миграций и (или) размножения объектов животного мира в периоды с 5 марта по 15 июня и с 15 июля по 15 ноября должно осуществляться </w:t>
        <w:br/>
        <w:t xml:space="preserve">по согласованию со специально уп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олномоченными государственными органами </w:t>
        <w:br/>
        <w:t xml:space="preserve">по охране, контролю и регулированию использования объектов животного мира </w:t>
        <w:br/>
        <w:t xml:space="preserve">и среды их обитания.</w:t>
      </w:r>
      <w:r>
        <w:tab/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Альтернативные варианты решения проблемы: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Установление постановлением Правительства Белгородской области  </w:t>
        <w:br/>
        <w:t xml:space="preserve">не фиксированных сроков, а только периоды весеннего и осеннего согласования изменения уровня воды.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Вместо фиксированных сроков можно определить критерии, при достижении которых автоматически запускается процедура согласования. Например, изменение уровня воды на определенную величину относительно нормы.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  <w:t xml:space="preserve">4.3. Обоснование выбора предлагаемого способа решения проблемы: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:u w:val="none"/>
        </w:rPr>
      </w:r>
      <w:r/>
    </w:p>
    <w:p>
      <w:pPr>
        <w:ind w:right="57"/>
        <w:jc w:val="both"/>
        <w:rPr>
          <w:rFonts w:ascii="Times New Roman" w:hAnsi="Times New Roman" w:cs="Times New Roman" w:eastAsiaTheme="minorEastAsia"/>
          <w:bCs/>
          <w:i/>
          <w:sz w:val="26"/>
          <w:szCs w:val="26"/>
          <w:u w:val="single"/>
          <w:lang w:eastAsia="ru-RU"/>
          <w14:ligatures w14:val="non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Регулирование уровня воды должно проводиться таким образом, чтобы минимизировать негативное воздействие на объекты животного мира. Периоды согласования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установленны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согласно письму Федерального государствен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ного бюджетного учреждения «Государствен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ный заповедник «Белогорье» от 24 июля 2025 года № 191, содержащему сведения о динамике миграционных процессов </w:t>
        <w:br/>
        <w:t xml:space="preserve">и периодах размножения водоплавающих и околоводных видов птиц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 Указанные сроки согласования позволят внести четкость 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  <w:t xml:space="preserve">между интересами природоохранных ведомств и потребностей бизнеса, а также гарантирующим сохранение экологического равновесия.</w:t>
      </w:r>
      <w:r>
        <w:rPr>
          <w:rFonts w:ascii="Times New Roman" w:hAnsi="Times New Roman" w:cs="Times New Roman" w:eastAsiaTheme="minorEastAsia"/>
          <w:i/>
          <w:iCs/>
          <w:sz w:val="26"/>
          <w:szCs w:val="26"/>
          <w:u w:val="single"/>
          <w:lang w:eastAsia="ru-RU"/>
        </w:rPr>
      </w:r>
      <w:r/>
    </w:p>
    <w:p>
      <w:pPr>
        <w:ind w:right="57"/>
        <w:jc w:val="both"/>
        <w:rPr>
          <w:rFonts w:ascii="Times New Roman" w:hAnsi="Times New Roman" w:cs="Times New Roman"/>
          <w:bCs/>
          <w:i/>
          <w:u w:val="single"/>
          <w14:ligatures w14:val="non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  <w:pBdr>
          <w:right w:val="none" w:color="000000" w:sz="4" w:space="1"/>
        </w:pBd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  <w:pBdr>
          <w:right w:val="none" w:color="000000" w:sz="4" w:space="1"/>
        </w:pBd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5558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Юридические лица, физические лица, в том числе индивидуальные предприниматели, осуществляющие деятельность на территории Белгородской области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bCs/>
                <w:i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На территории Белгородской области в Российском регистре гидротехнических сооружений зарегистрировано 192 гидротехнических сооружений, поднадзорных Верхне-Донскому управлению Ростехнадзора.</w:t>
            </w:r>
            <w:r>
              <w:rPr>
                <w:i/>
                <w:iCs/>
                <w:sz w:val="26"/>
                <w:szCs w:val="26"/>
              </w:rPr>
            </w:r>
            <w:r>
              <w:rPr>
                <w:i/>
                <w:iCs/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 среднем в год (исходя из фактических данных за предыдущие 3 года) с запросами о согласовании изменения уровня воды в гидросооружениях обращается 44 организации.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14:ligatures w14:val="none"/>
              </w:rPr>
            </w:r>
            <w:r>
              <w:rPr>
                <w:i/>
                <w:i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ппа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преимуществ, обязанностей, ограничений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изменения содержания существующих обязанностей и ограничений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расходов/доходов,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издержек/выгод,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Юридические лица, физические лица, в том числе индивидуальные предприниматели, осуществляющие деятельность, которая может привести к гибели объектов животного мира, обитающих в условиях естественной свободы на территории Белгородской области 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  <w:p>
            <w:pPr>
              <w:ind w:right="57"/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  <w:trHeight w:val="2505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3289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  <w:r>
              <w:rPr>
                <w:rFonts w:eastAsia="Calibri"/>
                <w:i/>
                <w:iCs/>
                <w:color w:val="ff0000"/>
                <w:sz w:val="27"/>
                <w:szCs w:val="27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Обязанность: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Предоставление  пакета документов необходимых для согласования изменения уровня воды в гидросооружениях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Общая стоимость требования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lang w:eastAsia="ru-RU"/>
              </w:rPr>
              <w:t xml:space="preserve">773,8 тыс. руб.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i/>
                <w:iCs/>
                <w:sz w:val="26"/>
                <w:szCs w:val="26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новых или изменения существующих ф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ункций, полномочий, обязанностей или прав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Управление экологического и охотничьего надзора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Осуществляются в рамках ранее установленных полномочий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Дополнительные трудозатраты не требуются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52"/>
        <w:gridCol w:w="27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  <w:highlight w:val="white"/>
                <w:shd w:val="clear" w:color="ffffff" w:themeColor="background1" w:fill="ffffff" w:themeFill="background1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  <w:highlight w:val="white"/>
              </w:rPr>
              <w:t xml:space="preserve">Описание видов расходов (возможных поступлений) консолидированного бюджета Б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  <w:highlight w:val="white"/>
              </w:rPr>
              <w:t xml:space="preserve">елгородской области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  <w:highlight w:val="white"/>
              </w:rPr>
              <w:t xml:space="preserve">Количественная оценка расходов и возможных поступлений,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highlight w:val="white"/>
              </w:rPr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Согласование 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 и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зменение уровня воды в гидросооружениях, в том числе и водохранилищ, в период массовых миграций и (или) размножения объектов животного мира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white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отсутствует.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Риски решения проблемы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Не соблюдение установленных требований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Контроль в рамках установленного законодательства</w:t>
            </w:r>
            <w:r/>
          </w:p>
        </w:tc>
      </w:tr>
    </w:tbl>
    <w:p>
      <w:pPr>
        <w:ind w:firstLine="0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815"/>
        <w:gridCol w:w="1873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ожидаемого результата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Объем финансиро- 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Источники финансиро- 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tabs>
                <w:tab w:val="right" w:pos="3514" w:leader="none"/>
              </w:tabs>
              <w:rPr>
                <w:rFonts w:ascii="Times New Roman" w:hAnsi="Times New Roman" w:cs="Times New Roman"/>
                <w:bCs/>
                <w:i/>
                <w:iCs/>
                <w:strike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u w:val="none"/>
              </w:rPr>
              <w:t xml:space="preserve">Опубликование текста принятого постановления Правительства области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«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О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б утверждении требований по предотвращению гибели объектов животного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мира при осуществлении производственных процессов, а также при эксплуатации транспортных магистралей, труб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опроводов и линий связи и электропе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редачи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 </w:t>
              <w:br/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на террито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рии Белгородской области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и признании утратившим силу постановления Правительства Белгородской области от 16 февраля 2015 года № 54-пп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»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u w:val="none"/>
              </w:rPr>
              <w:t xml:space="preserve">.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4 кв.2025 г.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  <w:t xml:space="preserve">Надлежащее официальное опубликование нормативного правового акта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right" w:pos="3514" w:leader="none"/>
              </w:tabs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u w:val="none"/>
              </w:rPr>
              <w:t xml:space="preserve">Консультирование хозяйствующих субъектов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На постоянной основе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  <w:t xml:space="preserve">Соблюдение установленных требований</w:t>
            </w:r>
            <w: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7. Ожидаемые измеримые результаты правового регулирования: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84"/>
        <w:gridCol w:w="1955"/>
        <w:gridCol w:w="2802"/>
        <w:gridCol w:w="1687"/>
      </w:tblGrid>
      <w:tr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Ключевые показатели достижения целей, заявленных в предложенном регулировании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Количественное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значение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ключевых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показателей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trHeight w:val="2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Предотвращение гибели объектов животного ми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ра, обитающих в условиях естественной свободы, в рез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ультате изменения среды обитания и нарушения путей миграции.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u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  <w:u w:val="none"/>
              </w:rPr>
              <w:t xml:space="preserve">Согласование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процессов и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u w:val="none"/>
              </w:rPr>
              <w:t xml:space="preserve">зменения уровня воды в гидросооружениях, в том числе в водохранилищах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Не менее чем с 20 субъектами хозяйственной деятельности в год</w:t>
            </w: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Оценка поступающих заявлений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Cs/>
                <w:i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декабрь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2026 года</w:t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4 </w:t>
      </w: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кв.2025 г.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709" w:right="709" w:bottom="851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Endnote Text Char"/>
    <w:link w:val="727"/>
    <w:uiPriority w:val="99"/>
    <w:rPr>
      <w:sz w:val="20"/>
    </w:rPr>
  </w:style>
  <w:style w:type="paragraph" w:styleId="68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82">
    <w:name w:val="Heading 1"/>
    <w:link w:val="731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83">
    <w:name w:val="Heading 2"/>
    <w:link w:val="732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84">
    <w:name w:val="Heading 3"/>
    <w:link w:val="73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85">
    <w:name w:val="Heading 4"/>
    <w:link w:val="73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86">
    <w:name w:val="Heading 5"/>
    <w:link w:val="73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87">
    <w:name w:val="Heading 6"/>
    <w:link w:val="736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88">
    <w:name w:val="Heading 7"/>
    <w:link w:val="73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9">
    <w:name w:val="Heading 8"/>
    <w:link w:val="73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90">
    <w:name w:val="Heading 9"/>
    <w:link w:val="73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table" w:styleId="707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7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19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4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5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26" w:customStyle="1">
    <w:name w:val="Footnote Text Char"/>
    <w:uiPriority w:val="99"/>
    <w:rPr>
      <w:sz w:val="18"/>
    </w:rPr>
  </w:style>
  <w:style w:type="paragraph" w:styleId="727">
    <w:name w:val="endnote text"/>
    <w:basedOn w:val="681"/>
    <w:link w:val="728"/>
    <w:uiPriority w:val="99"/>
    <w:semiHidden/>
    <w:unhideWhenUsed/>
  </w:style>
  <w:style w:type="character" w:styleId="728" w:customStyle="1">
    <w:name w:val="Текст концевой сноски Знак"/>
    <w:link w:val="727"/>
    <w:uiPriority w:val="99"/>
    <w:rPr>
      <w:sz w:val="20"/>
    </w:rPr>
  </w:style>
  <w:style w:type="character" w:styleId="729">
    <w:name w:val="endnote reference"/>
    <w:basedOn w:val="691"/>
    <w:uiPriority w:val="99"/>
    <w:semiHidden/>
    <w:unhideWhenUsed/>
    <w:rPr>
      <w:vertAlign w:val="superscript"/>
    </w:rPr>
  </w:style>
  <w:style w:type="paragraph" w:styleId="730">
    <w:name w:val="table of figures"/>
    <w:basedOn w:val="681"/>
    <w:next w:val="681"/>
    <w:uiPriority w:val="99"/>
    <w:unhideWhenUsed/>
  </w:style>
  <w:style w:type="character" w:styleId="731" w:customStyle="1">
    <w:name w:val="Заголовок 1 Знак"/>
    <w:link w:val="682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link w:val="683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link w:val="684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681"/>
    <w:pPr>
      <w:contextualSpacing/>
      <w:ind w:left="720"/>
    </w:pPr>
    <w:rPr>
      <w:szCs w:val="20"/>
    </w:rPr>
  </w:style>
  <w:style w:type="paragraph" w:styleId="741">
    <w:name w:val="No Spacing"/>
    <w:link w:val="908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42">
    <w:name w:val="Title"/>
    <w:link w:val="743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743" w:customStyle="1">
    <w:name w:val="Заголовок Знак"/>
    <w:link w:val="742"/>
    <w:uiPriority w:val="10"/>
    <w:rPr>
      <w:sz w:val="48"/>
      <w:szCs w:val="48"/>
    </w:rPr>
  </w:style>
  <w:style w:type="paragraph" w:styleId="744">
    <w:name w:val="Subtitle"/>
    <w:link w:val="745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45" w:customStyle="1">
    <w:name w:val="Подзаголовок Знак"/>
    <w:link w:val="744"/>
    <w:uiPriority w:val="11"/>
    <w:rPr>
      <w:sz w:val="24"/>
      <w:szCs w:val="24"/>
    </w:rPr>
  </w:style>
  <w:style w:type="paragraph" w:styleId="746">
    <w:name w:val="Quote"/>
    <w:link w:val="747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681"/>
    <w:link w:val="899"/>
    <w:pPr>
      <w:tabs>
        <w:tab w:val="center" w:pos="4677" w:leader="none"/>
        <w:tab w:val="right" w:pos="9355" w:leader="none"/>
      </w:tabs>
    </w:pPr>
  </w:style>
  <w:style w:type="character" w:styleId="751" w:customStyle="1">
    <w:name w:val="Header Char"/>
    <w:uiPriority w:val="99"/>
  </w:style>
  <w:style w:type="paragraph" w:styleId="752">
    <w:name w:val="Footer"/>
    <w:basedOn w:val="681"/>
    <w:link w:val="900"/>
    <w:pPr>
      <w:tabs>
        <w:tab w:val="center" w:pos="4677" w:leader="none"/>
        <w:tab w:val="right" w:pos="9355" w:leader="none"/>
      </w:tabs>
    </w:pPr>
  </w:style>
  <w:style w:type="character" w:styleId="753" w:customStyle="1">
    <w:name w:val="Footer Char"/>
    <w:uiPriority w:val="99"/>
  </w:style>
  <w:style w:type="paragraph" w:styleId="754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55" w:customStyle="1">
    <w:name w:val="Caption Char"/>
    <w:uiPriority w:val="99"/>
  </w:style>
  <w:style w:type="table" w:styleId="756">
    <w:name w:val="Table Grid"/>
    <w:basedOn w:val="692"/>
    <w:tblPr/>
  </w:style>
  <w:style w:type="table" w:styleId="757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2">
    <w:name w:val="Hyperlink"/>
    <w:uiPriority w:val="99"/>
    <w:unhideWhenUsed/>
    <w:rPr>
      <w:color w:val="0000ff"/>
      <w:u w:val="single"/>
    </w:rPr>
  </w:style>
  <w:style w:type="paragraph" w:styleId="883">
    <w:name w:val="footnote text"/>
    <w:link w:val="884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7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8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9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0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1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2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3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4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5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6" w:customStyle="1">
    <w:name w:val="ConsPlusNonformat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97">
    <w:name w:val="Balloon Text"/>
    <w:basedOn w:val="681"/>
    <w:semiHidden/>
    <w:rPr>
      <w:rFonts w:ascii="Tahoma" w:hAnsi="Tahoma"/>
      <w:sz w:val="16"/>
      <w:szCs w:val="16"/>
    </w:rPr>
  </w:style>
  <w:style w:type="paragraph" w:styleId="898" w:customStyle="1">
    <w:name w:val="Знак"/>
    <w:basedOn w:val="681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99" w:customStyle="1">
    <w:name w:val="Верхний колонтитул Знак"/>
    <w:link w:val="750"/>
    <w:rPr>
      <w:sz w:val="24"/>
      <w:szCs w:val="24"/>
    </w:rPr>
  </w:style>
  <w:style w:type="character" w:styleId="900" w:customStyle="1">
    <w:name w:val="Нижний колонтитул Знак"/>
    <w:link w:val="752"/>
    <w:rPr>
      <w:sz w:val="24"/>
      <w:szCs w:val="24"/>
    </w:rPr>
  </w:style>
  <w:style w:type="paragraph" w:styleId="901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902" w:customStyle="1">
    <w:name w:val="Знак"/>
    <w:basedOn w:val="681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903">
    <w:name w:val="Normal (Web)"/>
    <w:basedOn w:val="681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4" w:customStyle="1">
    <w:name w:val="headertext"/>
    <w:basedOn w:val="681"/>
    <w:qFormat/>
    <w:pPr>
      <w:spacing w:beforeAutospacing="1" w:after="16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5" w:customStyle="1">
    <w:name w:val="ConsPlusTitle"/>
    <w:uiPriority w:val="99"/>
    <w:qFormat/>
    <w:pPr>
      <w:widowControl w:val="off"/>
    </w:pPr>
    <w:rPr>
      <w:rFonts w:ascii="Calibri" w:hAnsi="Calibri" w:cs="Calibri"/>
      <w:b/>
      <w:color w:val="00000a"/>
      <w:sz w:val="22"/>
    </w:rPr>
  </w:style>
  <w:style w:type="paragraph" w:styleId="906">
    <w:name w:val="Body Text 3"/>
    <w:basedOn w:val="681"/>
    <w:link w:val="907"/>
    <w:uiPriority w:val="99"/>
    <w:semiHidden/>
    <w:unhideWhenUsed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basedOn w:val="691"/>
    <w:link w:val="906"/>
    <w:uiPriority w:val="99"/>
    <w:semiHidden/>
    <w:rPr>
      <w:sz w:val="16"/>
      <w:szCs w:val="16"/>
      <w:lang w:eastAsia="en-US" w:bidi="en-US"/>
    </w:rPr>
  </w:style>
  <w:style w:type="character" w:styleId="908" w:customStyle="1">
    <w:name w:val="Без интервала Знак"/>
    <w:link w:val="741"/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r.&#1077;&#1089;oohotnadzor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3B3B-3F6A-4E50-98E0-F8811E3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9</cp:revision>
  <dcterms:created xsi:type="dcterms:W3CDTF">2024-06-04T09:14:00Z</dcterms:created>
  <dcterms:modified xsi:type="dcterms:W3CDTF">2025-08-28T13:12:58Z</dcterms:modified>
</cp:coreProperties>
</file>