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 утверждении порядка предо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ставления из областного бюджета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грантов сельскохозя</w:t>
      </w:r>
      <w:r>
        <w:rPr>
          <w:rFonts w:ascii="Times New Roman" w:hAnsi="Times New Roman" w:eastAsia="Calibri" w:cs="Times New Roman"/>
          <w:sz w:val="26"/>
          <w:szCs w:val="26"/>
        </w:rPr>
        <w:t xml:space="preserve">йственным товаропроизводителям </w:t>
      </w:r>
      <w:r>
        <w:rPr>
          <w:rFonts w:ascii="Times New Roman" w:hAnsi="Times New Roman" w:eastAsia="Calibri" w:cs="Times New Roman"/>
          <w:sz w:val="26"/>
          <w:szCs w:val="26"/>
        </w:rPr>
        <w:t xml:space="preserve">Белгородской области на возобновление деятельности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начало: «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01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ноября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2024 г.; 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окончание «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14»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ноября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2024 г.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средняя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постановления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  <w:t xml:space="preserve">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 утверждении порядка предо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ставления из областного бюджета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грантов сельскохозя</w:t>
      </w:r>
      <w:r>
        <w:rPr>
          <w:rFonts w:ascii="Times New Roman" w:hAnsi="Times New Roman" w:eastAsia="Calibri" w:cs="Times New Roman"/>
          <w:sz w:val="26"/>
          <w:szCs w:val="26"/>
        </w:rPr>
        <w:t xml:space="preserve">йственным товаропроизводителям </w:t>
      </w:r>
      <w:r>
        <w:rPr>
          <w:rFonts w:ascii="Times New Roman" w:hAnsi="Times New Roman" w:eastAsia="Calibri" w:cs="Times New Roman"/>
          <w:sz w:val="26"/>
          <w:szCs w:val="26"/>
        </w:rPr>
        <w:t xml:space="preserve">Белгородской области на возобновление деятельности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/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расширяется перечень мер поддержки сельскохозяйственных товаропроизводителей.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Тарасова Кристина Юрьевна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консультант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отдела государственной поддержки малых форм департамента устойчивого развития сельских территорий министерства сельского хозяйства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продовольствия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24-76-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Адрес электронной почты: </w:t>
      </w:r>
      <w:hyperlink r:id="rId9" w:tooltip="mailto:tarasova.k@belapk.ru" w:history="1">
        <w:r>
          <w:rPr>
            <w:rStyle w:val="841"/>
            <w:rFonts w:ascii="Times New Roman" w:hAnsi="Times New Roman" w:eastAsia="Times New Roman" w:cs="Times New Roman"/>
            <w:sz w:val="26"/>
            <w:szCs w:val="26"/>
          </w:rPr>
          <w:t xml:space="preserve">t</w:t>
        </w:r>
        <w:r>
          <w:rPr>
            <w:rStyle w:val="841"/>
            <w:rFonts w:ascii="Times New Roman" w:hAnsi="Times New Roman" w:eastAsia="Times New Roman" w:cs="Times New Roman"/>
            <w:sz w:val="26"/>
            <w:szCs w:val="26"/>
            <w:lang w:val="en-US"/>
          </w:rPr>
          <w:t xml:space="preserve">arasova</w:t>
        </w:r>
        <w:r>
          <w:rPr>
            <w:rStyle w:val="841"/>
            <w:rFonts w:ascii="Times New Roman" w:hAnsi="Times New Roman" w:eastAsia="Times New Roman" w:cs="Times New Roman"/>
            <w:sz w:val="26"/>
            <w:szCs w:val="26"/>
          </w:rPr>
          <w:t xml:space="preserve">.</w:t>
        </w:r>
        <w:r>
          <w:rPr>
            <w:rStyle w:val="841"/>
            <w:rFonts w:ascii="Times New Roman" w:hAnsi="Times New Roman" w:eastAsia="Times New Roman" w:cs="Times New Roman"/>
            <w:sz w:val="26"/>
            <w:szCs w:val="26"/>
            <w:lang w:val="en-US"/>
          </w:rPr>
          <w:t xml:space="preserve">k</w:t>
        </w:r>
        <w:r>
          <w:rPr>
            <w:rStyle w:val="841"/>
            <w:rFonts w:ascii="Times New Roman" w:hAnsi="Times New Roman" w:eastAsia="Times New Roman" w:cs="Times New Roman"/>
            <w:sz w:val="26"/>
            <w:szCs w:val="26"/>
          </w:rPr>
          <w:t xml:space="preserve">@belapk.ru</w:t>
        </w:r>
      </w:hyperlink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</w:t>
      </w:r>
      <w:r>
        <w:rPr>
          <w:rFonts w:ascii="Times New Roman" w:hAnsi="Times New Roman" w:eastAsia="Calibri" w:cs="Times New Roman"/>
          <w:sz w:val="26"/>
          <w:szCs w:val="26"/>
        </w:rPr>
        <w:t xml:space="preserve">.1. Проблема, на решение которой направлен предлагаемый способ правового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отсутствие возможности ведения деятельности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сельскохозяйственным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товаропроизводителям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Белгородской области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основная материально-техническая база которых размещена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на  приграничных территори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ях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Белгородской области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  <w:t xml:space="preserve">      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Данная проблема в</w:t>
      </w:r>
      <w:r>
        <w:rPr>
          <w:rFonts w:ascii="Times New Roman" w:hAnsi="Times New Roman" w:eastAsia="Calibri" w:cs="Times New Roman"/>
          <w:sz w:val="26"/>
          <w:szCs w:val="26"/>
        </w:rPr>
        <w:t xml:space="preserve">ыявлена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результате мониторинга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деятельности сельскохозяйственных товаропроизводителей Белгородской области, а также по результатам их обращений в органы государственной власти.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/>
      <w:bookmarkStart w:id="1" w:name="_Hlk169776585"/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снижение или полное отсутствие производства в связи с невозможностью ведения деятельности в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приграничных территори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ях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Белгородской области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.</w:t>
      </w:r>
      <w:bookmarkEnd w:id="1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Анализ опыта иных субъектов Российской Федерации показал, что органами исполнительной власти 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приграничных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 субъектов Российской Федерации ведутся работы по 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разработке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 аналогичных нормативных правовых актов, предусматривающих 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дополнительные меры 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государственной поддерж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ки 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сельхозтоваропроизводителям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Создание оптимальных услови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для оказания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грантовой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поддержки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сельскохозяйственным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товаропроизводителям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Белгородской области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основная материально-техническая база которых размещена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на  приграничных территори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ях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Белгородской области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  <w:t xml:space="preserve">      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проект нормативного правового акта разработан в соответствии с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постановлением Правительства Российской Федерации от 25 октября 2023 года № 1782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                        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  <w:lang w:val="en-US"/>
        </w:rPr>
        <w:t xml:space="preserve">IV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</w:rPr>
        <w:t xml:space="preserve"> квартал 2024 года.</w:t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 отсутствует.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преодоления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4.1.1.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Разработан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порядок предоставления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гранта на возобновление деятельности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сельскохозяйственным товаропроизводителям Белгородской области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основная материально-техническая база которых размещена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на  приграничных территори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ях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Белгородской области,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предусматривающий:</w:t>
      </w:r>
      <w:r/>
    </w:p>
    <w:p>
      <w:pPr>
        <w:ind w:firstLine="709"/>
        <w:jc w:val="lef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- порядок проведения конкурса среди заявителей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для предоставления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гранта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ind w:firstLine="709"/>
        <w:jc w:val="left"/>
        <w:spacing w:after="0" w:line="240" w:lineRule="auto"/>
        <w:widowControl w:val="off"/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outlineLvl w:val="1"/>
      </w:pP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условия и порядок предоставления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гранта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;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</w:r>
    </w:p>
    <w:p>
      <w:pPr>
        <w:ind w:firstLine="709"/>
        <w:jc w:val="left"/>
        <w:spacing w:after="0" w:line="240" w:lineRule="auto"/>
        <w:widowControl w:val="off"/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outlineLvl w:val="1"/>
      </w:pP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- порядок предоставления отчетности;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</w:rPr>
        <w:outlineLvl w:val="1"/>
      </w:pP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- 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требования к осуществлению контроля за соблюдением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условий и порядка предоставления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гранта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и ответственности за их нарушение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осуществление деятельности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сельскохозяйственным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товаропроизводителям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Белгородской области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основная материально-техническая база которых размещена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на  приграничных территори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ях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Белгородской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за счёт собственных или заёмных (кредитных) средств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6"/>
          <w:szCs w:val="26"/>
        </w:rPr>
        <w:t xml:space="preserve">Так, например, при размере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гранта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на возобновление деятельности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сумме </w:t>
        <w:br/>
        <w:t xml:space="preserve">5 млн руб., в случае привлечения заемных средств в вышеуказанной сумме под процентную ставку в размере 5% (в сфере АПК) на 12 месяцев переплата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сельхозтоваропроизводителей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составит 136,4 тыс. руб.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размере гранта на 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переработк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у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сельскохозяйственной продукции и развитие отрасли рыбоводства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сумме 8 млн руб., в случае привлечения заемных средств в вышеуказанной сумме под процентную ставку в размере 5% </w:t>
      </w:r>
      <w:r>
        <w:rPr>
          <w:rFonts w:ascii="Times New Roman" w:hAnsi="Times New Roman" w:eastAsia="Calibri" w:cs="Times New Roman"/>
          <w:sz w:val="26"/>
          <w:szCs w:val="26"/>
        </w:rPr>
        <w:t xml:space="preserve">(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сфере АПК)  на 12 месяцев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переплата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товаропроизводителя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составит 218,3 тыс. руб.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Таким образом получение государственной поддержки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для сельскохозяйственных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товаропроизводителей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является финансово более выгодным, чем привлечение заемных ресурсов.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Оптимальным способом решения проблемы считаем принятие предлагаемого проекта постановления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 утверждении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порядка предо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ставления из областного бюджета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грантов сельскохозя</w:t>
      </w:r>
      <w:r>
        <w:rPr>
          <w:rFonts w:ascii="Times New Roman" w:hAnsi="Times New Roman" w:eastAsia="Calibri" w:cs="Times New Roman"/>
          <w:sz w:val="26"/>
          <w:szCs w:val="26"/>
        </w:rPr>
        <w:t xml:space="preserve">йственным товаропроизводителям </w:t>
      </w:r>
      <w:r>
        <w:rPr>
          <w:rFonts w:ascii="Times New Roman" w:hAnsi="Times New Roman" w:eastAsia="Calibri" w:cs="Times New Roman"/>
          <w:sz w:val="26"/>
          <w:szCs w:val="26"/>
        </w:rPr>
        <w:t xml:space="preserve">Белгородской области на возобновление деятельности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позволяющего оказывать сельскохозяйственным предпринимателям государственную поддержку в виде предоставления грантов. Данный способ регулирования позволит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снизить финансовую нагрузку сельхозтоваропроизводителей, повысит эффективность освоения предоставленной поддержки, 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будет способствовать более эффективному развитию производства </w:t>
      </w:r>
      <w:r>
        <w:rPr>
          <w:rFonts w:ascii="Times New Roman" w:hAnsi="Times New Roman" w:eastAsia="Times New Roman" w:cs="Times New Roman"/>
          <w:spacing w:val="-6"/>
          <w:sz w:val="26"/>
          <w:szCs w:val="26"/>
          <w:lang w:eastAsia="ru-RU"/>
        </w:rPr>
        <w:t xml:space="preserve">сельскохозяйственной продукции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на территории области.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Проект позволит оказать поддержку не менее 20 сельскохозяйственным товаропроизводителям на общую сумму 150,0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млн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рублей из средств областного бюджета, которые не могут вести сельскохозяйственную деятельность на прежнем месте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и планируют возобновление деятельности на более безопасных территориях муниципальных образований Белгородской области.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2"/>
        <w:gridCol w:w="2835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left="57" w:right="57"/>
              <w:jc w:val="both"/>
              <w:keepLines/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Сельскохо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зяйственные товаропроизводители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Белгородской области, основная материально-техническая база которых размещена на приграничных территориях Белгородской области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претендующие на получение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bCs/>
          <w:color w:val="ff0000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sz w:val="20"/>
          <w:szCs w:val="20"/>
          <w:highlight w:val="yellow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3259"/>
        <w:gridCol w:w="283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Сельскохо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зяйственные товаропроизводители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Белгородской области, основная материально-техническая база которых размещена на  приграничных территориях Белгородской области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претендующие на получение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Преимущества:</w:t>
            </w:r>
            <w:r>
              <w:rPr>
                <w:b/>
                <w:bCs/>
                <w:u w:val="single"/>
              </w:rPr>
            </w:r>
          </w:p>
          <w:p>
            <w:pPr>
              <w:ind w:hanging="28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финансирование затрат (части затрат) на реализацию проекта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грантополучателя по возобновлению производства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сельскохозяйственной продукции.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Обязанности: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грантополучателем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 документов,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 рентабельного производства сельскохозяйственной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сельскохозяйственными товаропроизводителями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более безопасных территориях муниципальных образований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расходов, предлагаемых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анта.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создание и развитие производства по направлениям деятельности овощеводство,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ягодоводство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садоводство, пчеловодство сумма гранта на возобновление деятельности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не более 5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млн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рублей.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переработку сельскохозяйственной продукции и развитие отрасли рыбоводства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не более 8 млн рублей</w:t>
            </w:r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по предоставлению подтверждающих документов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142,947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ff0000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bCs/>
          <w:color w:val="ff0000"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Дополнительные трудозатраты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color w:val="ff0000"/>
          <w:sz w:val="20"/>
          <w:szCs w:val="20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возобновление деятельности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Финансирование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 будет осуществляться из областного бюджета в виде гранта на общую сумму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млн рублей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color w:val="ff0000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отсутствуют.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методов контроля эффективности избранного способа достижения целей регулирования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:</w:t>
      </w:r>
      <w:r/>
    </w:p>
    <w:tbl>
      <w:tblPr>
        <w:tblpPr w:horzAnchor="margin" w:tblpXSpec="left" w:vertAnchor="text" w:tblpY="189" w:leftFromText="180" w:topFromText="0" w:rightFromText="180" w:bottomFromText="0"/>
        <w:tblW w:w="9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268"/>
        <w:gridCol w:w="326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избранного способа достижения целей регулирования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ind w:right="57"/>
              <w:jc w:val="both"/>
              <w:keepNext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Уменьшение числа потенциальных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участников мероприятий по предоставлению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возобновление деятельности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семинаров. Информирование населения о мерах поддержки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2. Сокращение интереса у потенциальных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грантов. Снижение процента выручки  крестьянскими (фермерскими) хозяйствами или индивидуальными предпринимателями, сформированной за счет  перерабатывающей и сбытовой деятельности.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color w:val="ff0000"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842"/>
        <w:gridCol w:w="1560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>
          <w:trHeight w:val="22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832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на  официальном сайте департамента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belapk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январь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  <w:tr>
        <w:trPr>
          <w:trHeight w:val="9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832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торинг предоставленных грантов на возобновление деятельности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грантов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9"/>
        <w:gridCol w:w="2319"/>
        <w:gridCol w:w="2545"/>
        <w:gridCol w:w="2322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 декабрю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оказание государственной поддержки в виде гранта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возобновление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2.Увеличением объема реализуемой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сельскохозяйственной продукции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грантополучателей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общую сумму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 руб.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3 лет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Оценка поступивших заявок от сельскохозяйственных товаропроизводителей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Полугодовая и годовая отчётности в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Минсельхоз РФ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Декабрь 202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Ежегодно (в течение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предоставления гранта)</w:t>
            </w:r>
            <w:bookmarkStart w:id="2" w:name="_GoBack"/>
            <w:r/>
            <w:bookmarkEnd w:id="2"/>
            <w:r/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декабрь</w:t>
      </w:r>
      <w:r>
        <w:rPr>
          <w:rFonts w:ascii="Times New Roman" w:hAnsi="Times New Roman" w:eastAsia="Calibri" w:cs="Times New Roman"/>
          <w:sz w:val="26"/>
          <w:szCs w:val="26"/>
        </w:rPr>
        <w:t xml:space="preserve"> 2024 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</w:rPr>
      </w:r>
      <w:r/>
    </w:p>
    <w:p>
      <w:pPr>
        <w:pStyle w:val="832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832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5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661"/>
    <w:link w:val="652"/>
    <w:uiPriority w:val="9"/>
    <w:rPr>
      <w:rFonts w:ascii="Arial" w:hAnsi="Arial" w:eastAsia="Arial" w:cs="Arial"/>
      <w:sz w:val="40"/>
      <w:szCs w:val="40"/>
    </w:rPr>
  </w:style>
  <w:style w:type="character" w:styleId="635">
    <w:name w:val="Heading 2 Char"/>
    <w:basedOn w:val="661"/>
    <w:link w:val="653"/>
    <w:uiPriority w:val="9"/>
    <w:rPr>
      <w:rFonts w:ascii="Arial" w:hAnsi="Arial" w:eastAsia="Arial" w:cs="Arial"/>
      <w:sz w:val="34"/>
    </w:rPr>
  </w:style>
  <w:style w:type="character" w:styleId="636">
    <w:name w:val="Heading 3 Char"/>
    <w:basedOn w:val="661"/>
    <w:link w:val="654"/>
    <w:uiPriority w:val="9"/>
    <w:rPr>
      <w:rFonts w:ascii="Arial" w:hAnsi="Arial" w:eastAsia="Arial" w:cs="Arial"/>
      <w:sz w:val="30"/>
      <w:szCs w:val="30"/>
    </w:rPr>
  </w:style>
  <w:style w:type="character" w:styleId="637">
    <w:name w:val="Heading 4 Char"/>
    <w:basedOn w:val="66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38">
    <w:name w:val="Heading 5 Char"/>
    <w:basedOn w:val="66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39">
    <w:name w:val="Heading 6 Char"/>
    <w:basedOn w:val="661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40">
    <w:name w:val="Heading 7 Char"/>
    <w:basedOn w:val="661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1">
    <w:name w:val="Heading 8 Char"/>
    <w:basedOn w:val="66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42">
    <w:name w:val="Heading 9 Char"/>
    <w:basedOn w:val="66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character" w:styleId="643">
    <w:name w:val="Title Char"/>
    <w:basedOn w:val="661"/>
    <w:link w:val="675"/>
    <w:uiPriority w:val="10"/>
    <w:rPr>
      <w:sz w:val="48"/>
      <w:szCs w:val="48"/>
    </w:rPr>
  </w:style>
  <w:style w:type="character" w:styleId="644">
    <w:name w:val="Subtitle Char"/>
    <w:basedOn w:val="661"/>
    <w:link w:val="677"/>
    <w:uiPriority w:val="11"/>
    <w:rPr>
      <w:sz w:val="24"/>
      <w:szCs w:val="24"/>
    </w:rPr>
  </w:style>
  <w:style w:type="character" w:styleId="645">
    <w:name w:val="Quote Char"/>
    <w:link w:val="679"/>
    <w:uiPriority w:val="29"/>
    <w:rPr>
      <w:i/>
    </w:rPr>
  </w:style>
  <w:style w:type="character" w:styleId="646">
    <w:name w:val="Intense Quote Char"/>
    <w:link w:val="681"/>
    <w:uiPriority w:val="30"/>
    <w:rPr>
      <w:i/>
    </w:rPr>
  </w:style>
  <w:style w:type="character" w:styleId="647">
    <w:name w:val="Header Char"/>
    <w:basedOn w:val="661"/>
    <w:link w:val="683"/>
    <w:uiPriority w:val="99"/>
  </w:style>
  <w:style w:type="character" w:styleId="648">
    <w:name w:val="Caption Char"/>
    <w:basedOn w:val="687"/>
    <w:link w:val="685"/>
    <w:uiPriority w:val="99"/>
  </w:style>
  <w:style w:type="character" w:styleId="649">
    <w:name w:val="Footnote Text Char"/>
    <w:link w:val="815"/>
    <w:uiPriority w:val="99"/>
    <w:rPr>
      <w:sz w:val="18"/>
    </w:rPr>
  </w:style>
  <w:style w:type="character" w:styleId="650">
    <w:name w:val="Endnote Text Char"/>
    <w:link w:val="818"/>
    <w:uiPriority w:val="99"/>
    <w:rPr>
      <w:sz w:val="20"/>
    </w:rPr>
  </w:style>
  <w:style w:type="paragraph" w:styleId="651" w:default="1">
    <w:name w:val="Normal"/>
    <w:qFormat/>
  </w:style>
  <w:style w:type="paragraph" w:styleId="652">
    <w:name w:val="Heading 1"/>
    <w:basedOn w:val="651"/>
    <w:next w:val="651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3">
    <w:name w:val="Heading 2"/>
    <w:basedOn w:val="651"/>
    <w:next w:val="651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4">
    <w:name w:val="Heading 3"/>
    <w:basedOn w:val="651"/>
    <w:next w:val="651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5">
    <w:name w:val="Heading 4"/>
    <w:basedOn w:val="651"/>
    <w:next w:val="651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651"/>
    <w:next w:val="651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7">
    <w:name w:val="Heading 6"/>
    <w:basedOn w:val="651"/>
    <w:next w:val="651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8">
    <w:name w:val="Heading 7"/>
    <w:basedOn w:val="651"/>
    <w:next w:val="651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9">
    <w:name w:val="Heading 8"/>
    <w:basedOn w:val="651"/>
    <w:next w:val="651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0">
    <w:name w:val="Heading 9"/>
    <w:basedOn w:val="651"/>
    <w:next w:val="651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1 Знак"/>
    <w:basedOn w:val="661"/>
    <w:link w:val="652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61"/>
    <w:link w:val="653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61"/>
    <w:link w:val="654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6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6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61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61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6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6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5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51"/>
    <w:next w:val="651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basedOn w:val="661"/>
    <w:link w:val="675"/>
    <w:uiPriority w:val="10"/>
    <w:rPr>
      <w:sz w:val="48"/>
      <w:szCs w:val="48"/>
    </w:rPr>
  </w:style>
  <w:style w:type="paragraph" w:styleId="677">
    <w:name w:val="Subtitle"/>
    <w:basedOn w:val="651"/>
    <w:next w:val="651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61"/>
    <w:link w:val="677"/>
    <w:uiPriority w:val="11"/>
    <w:rPr>
      <w:sz w:val="24"/>
      <w:szCs w:val="24"/>
    </w:rPr>
  </w:style>
  <w:style w:type="paragraph" w:styleId="679">
    <w:name w:val="Quote"/>
    <w:basedOn w:val="651"/>
    <w:next w:val="651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1"/>
    <w:next w:val="651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61"/>
    <w:link w:val="683"/>
    <w:uiPriority w:val="99"/>
  </w:style>
  <w:style w:type="paragraph" w:styleId="685">
    <w:name w:val="Footer"/>
    <w:basedOn w:val="65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61"/>
    <w:uiPriority w:val="99"/>
  </w:style>
  <w:style w:type="paragraph" w:styleId="687">
    <w:name w:val="Caption"/>
    <w:basedOn w:val="651"/>
    <w:next w:val="65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6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 w:customStyle="1">
    <w:name w:val="Plain Table 1"/>
    <w:basedOn w:val="6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2"/>
    <w:basedOn w:val="6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5">
    <w:name w:val="footnote text"/>
    <w:basedOn w:val="651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61"/>
    <w:uiPriority w:val="99"/>
    <w:unhideWhenUsed/>
    <w:rPr>
      <w:vertAlign w:val="superscript"/>
    </w:rPr>
  </w:style>
  <w:style w:type="paragraph" w:styleId="818">
    <w:name w:val="endnote text"/>
    <w:basedOn w:val="651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61"/>
    <w:uiPriority w:val="99"/>
    <w:semiHidden/>
    <w:unhideWhenUsed/>
    <w:rPr>
      <w:vertAlign w:val="superscript"/>
    </w:rPr>
  </w:style>
  <w:style w:type="paragraph" w:styleId="821">
    <w:name w:val="toc 1"/>
    <w:basedOn w:val="651"/>
    <w:next w:val="651"/>
    <w:uiPriority w:val="39"/>
    <w:unhideWhenUsed/>
    <w:pPr>
      <w:spacing w:after="57"/>
    </w:pPr>
  </w:style>
  <w:style w:type="paragraph" w:styleId="822">
    <w:name w:val="toc 2"/>
    <w:basedOn w:val="651"/>
    <w:next w:val="651"/>
    <w:uiPriority w:val="39"/>
    <w:unhideWhenUsed/>
    <w:pPr>
      <w:ind w:left="283"/>
      <w:spacing w:after="57"/>
    </w:pPr>
  </w:style>
  <w:style w:type="paragraph" w:styleId="823">
    <w:name w:val="toc 3"/>
    <w:basedOn w:val="651"/>
    <w:next w:val="651"/>
    <w:uiPriority w:val="39"/>
    <w:unhideWhenUsed/>
    <w:pPr>
      <w:ind w:left="567"/>
      <w:spacing w:after="57"/>
    </w:pPr>
  </w:style>
  <w:style w:type="paragraph" w:styleId="824">
    <w:name w:val="toc 4"/>
    <w:basedOn w:val="651"/>
    <w:next w:val="651"/>
    <w:uiPriority w:val="39"/>
    <w:unhideWhenUsed/>
    <w:pPr>
      <w:ind w:left="850"/>
      <w:spacing w:after="57"/>
    </w:pPr>
  </w:style>
  <w:style w:type="paragraph" w:styleId="825">
    <w:name w:val="toc 5"/>
    <w:basedOn w:val="651"/>
    <w:next w:val="651"/>
    <w:uiPriority w:val="39"/>
    <w:unhideWhenUsed/>
    <w:pPr>
      <w:ind w:left="1134"/>
      <w:spacing w:after="57"/>
    </w:pPr>
  </w:style>
  <w:style w:type="paragraph" w:styleId="826">
    <w:name w:val="toc 6"/>
    <w:basedOn w:val="651"/>
    <w:next w:val="651"/>
    <w:uiPriority w:val="39"/>
    <w:unhideWhenUsed/>
    <w:pPr>
      <w:ind w:left="1417"/>
      <w:spacing w:after="57"/>
    </w:pPr>
  </w:style>
  <w:style w:type="paragraph" w:styleId="827">
    <w:name w:val="toc 7"/>
    <w:basedOn w:val="651"/>
    <w:next w:val="651"/>
    <w:uiPriority w:val="39"/>
    <w:unhideWhenUsed/>
    <w:pPr>
      <w:ind w:left="1701"/>
      <w:spacing w:after="57"/>
    </w:pPr>
  </w:style>
  <w:style w:type="paragraph" w:styleId="828">
    <w:name w:val="toc 8"/>
    <w:basedOn w:val="651"/>
    <w:next w:val="651"/>
    <w:uiPriority w:val="39"/>
    <w:unhideWhenUsed/>
    <w:pPr>
      <w:ind w:left="1984"/>
      <w:spacing w:after="57"/>
    </w:pPr>
  </w:style>
  <w:style w:type="paragraph" w:styleId="829">
    <w:name w:val="toc 9"/>
    <w:basedOn w:val="651"/>
    <w:next w:val="651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51"/>
    <w:next w:val="651"/>
    <w:uiPriority w:val="99"/>
    <w:unhideWhenUsed/>
    <w:pPr>
      <w:spacing w:after="0"/>
    </w:pPr>
  </w:style>
  <w:style w:type="paragraph" w:styleId="83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3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5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6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8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39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0" w:customStyle="1">
    <w:name w:val="Знак"/>
    <w:basedOn w:val="65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1">
    <w:name w:val="Hyperlink"/>
    <w:basedOn w:val="661"/>
    <w:uiPriority w:val="99"/>
    <w:unhideWhenUsed/>
    <w:rPr>
      <w:color w:val="0000ff" w:themeColor="hyperlink"/>
      <w:u w:val="single"/>
    </w:rPr>
  </w:style>
  <w:style w:type="paragraph" w:styleId="842" w:customStyle="1">
    <w:name w:val="Знак"/>
    <w:basedOn w:val="65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3" w:customStyle="1">
    <w:name w:val="StGen0"/>
    <w:basedOn w:val="651"/>
    <w:next w:val="84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>
    <w:name w:val="Normal (Web)"/>
    <w:basedOn w:val="651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845" w:customStyle="1">
    <w:name w:val="Знак"/>
    <w:basedOn w:val="65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tarasova.k@belap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214</cp:revision>
  <dcterms:created xsi:type="dcterms:W3CDTF">2022-04-27T14:18:00Z</dcterms:created>
  <dcterms:modified xsi:type="dcterms:W3CDTF">2024-11-01T07:34:28Z</dcterms:modified>
</cp:coreProperties>
</file>