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83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833"/>
        <w:jc w:val="center"/>
        <w:rPr>
          <w:rFonts w:ascii="Times New Roman" w:hAnsi="Times New Roman" w:cs="Times New Roman"/>
          <w:b/>
          <w:sz w:val="26"/>
          <w:szCs w:val="26"/>
        </w:rPr>
      </w:pPr>
      <w:r/>
      <w:bookmarkStart w:id="0" w:name="P439"/>
      <w:r/>
      <w:bookmarkEnd w:id="0"/>
      <w:r>
        <w:rPr>
          <w:rFonts w:ascii="Times New Roman" w:hAnsi="Times New Roman" w:cs="Times New Roman"/>
          <w:b/>
          <w:sz w:val="26"/>
          <w:szCs w:val="26"/>
        </w:rPr>
        <w:t xml:space="preserve">Сводный отчет</w:t>
      </w:r>
      <w:r/>
    </w:p>
    <w:p>
      <w:pPr>
        <w:pStyle w:val="833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 результатах проведения оценки регулирующего воздействия</w:t>
      </w:r>
      <w:r/>
    </w:p>
    <w:p>
      <w:pPr>
        <w:pStyle w:val="833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проекта нормативного правового акта</w:t>
      </w:r>
      <w:r/>
    </w:p>
    <w:p>
      <w:pPr>
        <w:pStyle w:val="833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bCs/>
          <w:sz w:val="26"/>
          <w:szCs w:val="26"/>
          <w:lang w:eastAsia="ru-RU"/>
        </w:rPr>
        <w:t xml:space="preserve">1. Общая информация: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  <w:lang w:eastAsia="ru-RU"/>
        </w:rPr>
        <w:t xml:space="preserve">1.1. Орган-разработчик (инициатор проекта закона Белгородской области): </w:t>
      </w:r>
      <w:r>
        <w:rPr>
          <w:rFonts w:ascii="Times New Roman" w:hAnsi="Times New Roman" w:eastAsia="Calibri" w:cs="Times New Roman"/>
          <w:sz w:val="26"/>
          <w:szCs w:val="26"/>
        </w:rPr>
        <w:t xml:space="preserve">департамент устойчивого развития сельских территорий министерства сельского хозяйства и продовольствия Белгородской области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  <w:lang w:eastAsia="ru-RU"/>
        </w:rPr>
        <w:t xml:space="preserve">1.2. Вид и наименование проекта нормативного правового акта: </w:t>
      </w:r>
      <w:r>
        <w:rPr>
          <w:rFonts w:ascii="Times New Roman" w:hAnsi="Times New Roman" w:eastAsia="Calibri" w:cs="Times New Roman"/>
          <w:sz w:val="26"/>
          <w:szCs w:val="26"/>
        </w:rPr>
        <w:t xml:space="preserve">проект постановления Правительства Белгородской области </w:t>
      </w:r>
      <w:r>
        <w:rPr>
          <w:rFonts w:hint="default" w:ascii="Times New Roman" w:hAnsi="Times New Roman" w:eastAsia="Calibri" w:cs="Times New Roman"/>
          <w:sz w:val="26"/>
          <w:szCs w:val="26"/>
          <w:lang w:val="ru-RU"/>
        </w:rPr>
        <w:t xml:space="preserve">«</w:t>
      </w:r>
      <w:r>
        <w:rPr>
          <w:rFonts w:ascii="Times New Roman" w:hAnsi="Times New Roman" w:eastAsia="Calibri" w:cs="Times New Roman"/>
          <w:sz w:val="26"/>
          <w:szCs w:val="26"/>
        </w:rPr>
        <w:t xml:space="preserve">Об оказании государственной поддержки ветеранам и участникам специальной военной операции, связанной с началом осуществления ими предпринимательской деятельности в</w:t>
      </w:r>
      <w:r>
        <w:rPr>
          <w:rFonts w:hint="default" w:ascii="Times New Roman" w:hAnsi="Times New Roman" w:eastAsia="Calibri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eastAsia="Calibri" w:cs="Times New Roman"/>
          <w:sz w:val="26"/>
          <w:szCs w:val="26"/>
        </w:rPr>
        <w:t xml:space="preserve">агропромышленном комплексе</w:t>
      </w:r>
      <w:r>
        <w:rPr>
          <w:rFonts w:hint="default" w:ascii="Times New Roman" w:hAnsi="Times New Roman" w:eastAsia="Calibri" w:cs="Times New Roman"/>
          <w:sz w:val="26"/>
          <w:szCs w:val="26"/>
          <w:lang w:val="ru-RU"/>
        </w:rPr>
        <w:t xml:space="preserve">»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1.3. Сроки проведения публичного обсуждения проекта </w:t>
      </w:r>
      <w:r>
        <w:rPr>
          <w:rFonts w:ascii="Times New Roman" w:hAnsi="Times New Roman" w:eastAsia="Times New Roman" w:cs="Times New Roman"/>
          <w:bCs/>
          <w:sz w:val="26"/>
          <w:szCs w:val="26"/>
        </w:rPr>
        <w:t xml:space="preserve">нормативного правового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акта: 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начало: «</w:t>
      </w:r>
      <w:r>
        <w:rPr>
          <w:rFonts w:hint="default" w:ascii="Times New Roman" w:hAnsi="Times New Roman" w:eastAsia="Times New Roman" w:cs="Times New Roman"/>
          <w:color w:val="000000" w:themeColor="text1"/>
          <w:sz w:val="26"/>
          <w:szCs w:val="26"/>
          <w:lang w:val="ru-RU"/>
          <w14:textFill>
            <w14:solidFill>
              <w14:schemeClr w14:val="tx1"/>
            </w14:solidFill>
          </w14:textFill>
        </w:rPr>
        <w:t xml:space="preserve">18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»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lang w:val="ru-RU"/>
          <w14:textFill>
            <w14:solidFill>
              <w14:schemeClr w14:val="tx1"/>
            </w14:solidFill>
          </w14:textFill>
        </w:rPr>
        <w:t xml:space="preserve">июля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 202</w:t>
      </w:r>
      <w:r>
        <w:rPr>
          <w:rFonts w:hint="default" w:ascii="Times New Roman" w:hAnsi="Times New Roman" w:eastAsia="Times New Roman" w:cs="Times New Roman"/>
          <w:color w:val="000000" w:themeColor="text1"/>
          <w:sz w:val="26"/>
          <w:szCs w:val="26"/>
          <w:lang w:val="ru-RU"/>
          <w14:textFill>
            <w14:solidFill>
              <w14:schemeClr w14:val="tx1"/>
            </w14:solidFill>
          </w14:textFill>
        </w:rPr>
        <w:t xml:space="preserve">5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 г.; 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окончание «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31»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июля 202</w:t>
      </w:r>
      <w:r>
        <w:rPr>
          <w:rFonts w:hint="default" w:ascii="Times New Roman" w:hAnsi="Times New Roman" w:eastAsia="Times New Roman" w:cs="Times New Roman"/>
          <w:color w:val="000000" w:themeColor="text1"/>
          <w:sz w:val="26"/>
          <w:szCs w:val="26"/>
          <w:lang w:val="ru-RU"/>
          <w14:textFill>
            <w14:solidFill>
              <w14:schemeClr w14:val="tx1"/>
            </w14:solidFill>
          </w14:textFill>
        </w:rPr>
        <w:t xml:space="preserve">5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 г.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1.4. Степень регулирующего воздействия проекта нормативного правового акта: средняя.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Проектом постановления Правительства Белгородской области «</w:t>
      </w:r>
      <w:r>
        <w:rPr>
          <w:rFonts w:ascii="Times New Roman" w:hAnsi="Times New Roman" w:eastAsia="Calibri" w:cs="Times New Roman"/>
          <w:sz w:val="26"/>
          <w:szCs w:val="26"/>
        </w:rPr>
        <w:t xml:space="preserve">Об оказании государственной поддержки ветеранам и участникам специальной военной операции, связанной с началом осуществления ими предпринимательской деятельности </w:t>
      </w:r>
      <w:r>
        <w:rPr>
          <w:rFonts w:ascii="Times New Roman" w:hAnsi="Times New Roman" w:eastAsia="Calibri" w:cs="Times New Roman"/>
          <w:sz w:val="26"/>
          <w:szCs w:val="26"/>
        </w:rPr>
        <w:t xml:space="preserve">в агропромышленном комплексе</w:t>
      </w:r>
      <w:r>
        <w:rPr>
          <w:rFonts w:hint="default" w:ascii="Times New Roman" w:hAnsi="Times New Roman" w:eastAsia="Calibri" w:cs="Times New Roman"/>
          <w:sz w:val="26"/>
          <w:szCs w:val="26"/>
          <w:lang w:val="ru-RU"/>
        </w:rPr>
        <w:t xml:space="preserve">»</w:t>
      </w:r>
      <w:r>
        <w:rPr>
          <w:rFonts w:ascii="Times New Roman" w:hAnsi="Times New Roman" w:eastAsia="Calibri" w:cs="Times New Roman"/>
          <w:sz w:val="26"/>
          <w:szCs w:val="26"/>
        </w:rPr>
        <w:t xml:space="preserve"> </w:t>
      </w:r>
      <w:r>
        <w:rPr>
          <w:rFonts w:ascii="Times New Roman" w:hAnsi="Times New Roman" w:eastAsia="Calibri" w:cs="Times New Roman"/>
          <w:sz w:val="26"/>
          <w:szCs w:val="26"/>
          <w:highlight w:val="none"/>
        </w:rPr>
        <w:t xml:space="preserve">расширяется перечень мер поддержки </w:t>
      </w:r>
      <w:r>
        <w:rPr>
          <w:rFonts w:ascii="Times New Roman" w:hAnsi="Times New Roman" w:eastAsia="Calibri" w:cs="Times New Roman"/>
          <w:sz w:val="26"/>
          <w:szCs w:val="26"/>
          <w:highlight w:val="none"/>
          <w:lang w:val="ru-RU"/>
        </w:rPr>
        <w:t xml:space="preserve">участникам</w:t>
      </w:r>
      <w:r>
        <w:rPr>
          <w:rFonts w:hint="default" w:ascii="Times New Roman" w:hAnsi="Times New Roman" w:eastAsia="Calibri" w:cs="Times New Roman"/>
          <w:sz w:val="26"/>
          <w:szCs w:val="26"/>
          <w:highlight w:val="none"/>
          <w:lang w:val="ru-RU"/>
        </w:rPr>
        <w:t xml:space="preserve"> СВО</w:t>
      </w:r>
      <w:r>
        <w:rPr>
          <w:rFonts w:ascii="Times New Roman" w:hAnsi="Times New Roman" w:eastAsia="Calibri" w:cs="Times New Roman"/>
          <w:sz w:val="26"/>
          <w:szCs w:val="26"/>
          <w:highlight w:val="none"/>
        </w:rPr>
        <w:t xml:space="preserve">.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1.5. Контактная информация об исполнителе в органе-разработчике: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Ф.И.О.: Тарасова Кристина Юрьевна 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Должность: консультант отдела государственной поддержки малых форм департамента устойчивого развития сельских территорий министерства сельского хозяйства и продовольствия области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Тел.: (4722) 24-76-47. Адрес электронной почты: </w:t>
      </w:r>
      <w:r>
        <w:rPr>
          <w:rFonts w:hint="default" w:ascii="Times New Roman" w:hAnsi="Times New Roman" w:eastAsia="Times New Roman" w:cs="Times New Roman"/>
          <w:sz w:val="26"/>
          <w:szCs w:val="26"/>
        </w:rPr>
        <w:t xml:space="preserve">tarasova_kyu@belregion.ru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2. Описание проблемы, на решение которой направлено вводимое правовое регулирование: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2.1. Проблема, на решение которой направлен предлагаемый способ правового регулирования: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  <w:highlight w:val="none"/>
        </w:rPr>
      </w:pPr>
      <w:r>
        <w:rPr>
          <w:rFonts w:ascii="Times New Roman" w:hAnsi="Times New Roman" w:eastAsia="Calibri" w:cs="Times New Roman"/>
          <w:sz w:val="26"/>
          <w:szCs w:val="26"/>
          <w:highlight w:val="none"/>
        </w:rPr>
        <w:t xml:space="preserve">- отсутствие необходимой финансовой базы </w:t>
      </w:r>
      <w:r>
        <w:rPr>
          <w:rFonts w:hint="default" w:ascii="Times New Roman" w:hAnsi="Times New Roman" w:eastAsia="Calibri" w:cs="Times New Roman"/>
          <w:sz w:val="26"/>
          <w:szCs w:val="26"/>
          <w:highlight w:val="none"/>
          <w:lang w:val="ru-RU" w:eastAsia="ru-RU"/>
        </w:rPr>
        <w:t xml:space="preserve">для осуществления  предпринимательской деятельности в агропромышленном комплексе</w:t>
      </w:r>
      <w:r>
        <w:rPr>
          <w:rFonts w:ascii="Times New Roman" w:hAnsi="Times New Roman" w:eastAsia="Calibri" w:cs="Times New Roman"/>
          <w:sz w:val="26"/>
          <w:szCs w:val="26"/>
          <w:highlight w:val="none"/>
        </w:rPr>
        <w:t xml:space="preserve"> ветеранами специальной военной операции</w:t>
      </w:r>
      <w:r>
        <w:rPr>
          <w:highlight w:val="none"/>
        </w:rPr>
        <w:t xml:space="preserve">.</w:t>
      </w:r>
      <w:r>
        <w:rPr>
          <w:highlight w:val="none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2.2. Информация о возникновении и выявлении проблемы: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Данная проблема </w:t>
      </w:r>
      <w:r>
        <w:rPr>
          <w:rFonts w:ascii="Times New Roman" w:hAnsi="Times New Roman" w:eastAsia="Calibri" w:cs="Times New Roman"/>
          <w:sz w:val="26"/>
          <w:szCs w:val="26"/>
          <w:lang w:val="ru-RU"/>
        </w:rPr>
        <w:t xml:space="preserve">возникла</w:t>
      </w:r>
      <w:r>
        <w:rPr>
          <w:rFonts w:hint="default" w:ascii="Times New Roman" w:hAnsi="Times New Roman" w:eastAsia="Calibri" w:cs="Times New Roman"/>
          <w:sz w:val="26"/>
          <w:szCs w:val="26"/>
          <w:lang w:val="ru-RU"/>
        </w:rPr>
        <w:t xml:space="preserve"> в связи с увеличением количества </w:t>
      </w:r>
      <w:r>
        <w:rPr>
          <w:rFonts w:ascii="Times New Roman" w:hAnsi="Times New Roman" w:eastAsia="Calibri" w:cs="Times New Roman"/>
          <w:sz w:val="26"/>
          <w:szCs w:val="26"/>
        </w:rPr>
        <w:t xml:space="preserve">ветеран</w:t>
      </w:r>
      <w:r>
        <w:rPr>
          <w:rFonts w:ascii="Times New Roman" w:hAnsi="Times New Roman" w:eastAsia="Calibri" w:cs="Times New Roman"/>
          <w:sz w:val="26"/>
          <w:szCs w:val="26"/>
          <w:lang w:val="ru-RU"/>
        </w:rPr>
        <w:t xml:space="preserve">ов</w:t>
      </w:r>
      <w:r>
        <w:rPr>
          <w:rFonts w:ascii="Times New Roman" w:hAnsi="Times New Roman" w:eastAsia="Calibri" w:cs="Times New Roman"/>
          <w:sz w:val="26"/>
          <w:szCs w:val="26"/>
        </w:rPr>
        <w:t xml:space="preserve"> </w:t>
      </w:r>
      <w:r>
        <w:rPr>
          <w:rFonts w:ascii="Times New Roman" w:hAnsi="Times New Roman" w:eastAsia="Calibri" w:cs="Times New Roman"/>
          <w:sz w:val="26"/>
          <w:szCs w:val="26"/>
        </w:rPr>
        <w:t xml:space="preserve">специальной военной операции</w:t>
      </w:r>
      <w:r>
        <w:rPr>
          <w:rFonts w:hint="default" w:ascii="Times New Roman" w:hAnsi="Times New Roman" w:eastAsia="Calibri" w:cs="Times New Roman"/>
          <w:sz w:val="26"/>
          <w:szCs w:val="26"/>
          <w:lang w:val="ru-RU"/>
        </w:rPr>
        <w:t xml:space="preserve">, желающих вести деятельность в сфере сельского хозяйства, и </w:t>
      </w:r>
      <w:r>
        <w:rPr>
          <w:rFonts w:ascii="Times New Roman" w:hAnsi="Times New Roman" w:eastAsia="Calibri" w:cs="Times New Roman"/>
          <w:sz w:val="26"/>
          <w:szCs w:val="26"/>
        </w:rPr>
        <w:t xml:space="preserve">выявлена по результатам их обращений в органы государственной власти.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2.3. Негативные эффекты, возникающие в связи с наличием рассматриваемой проблемы:</w:t>
      </w:r>
      <w:r/>
    </w:p>
    <w:p>
      <w:pPr>
        <w:ind w:firstLine="709"/>
        <w:jc w:val="both"/>
        <w:spacing w:after="0" w:line="240" w:lineRule="auto"/>
        <w:rPr>
          <w:rFonts w:hint="default" w:ascii="Times New Roman" w:hAnsi="Times New Roman" w:eastAsia="Calibri" w:cs="Times New Roman"/>
          <w:sz w:val="26"/>
          <w:szCs w:val="26"/>
          <w:lang w:val="ru-RU"/>
        </w:rPr>
      </w:pPr>
      <w:r/>
      <w:bookmarkStart w:id="1" w:name="_Hlk169776585"/>
      <w:r>
        <w:rPr>
          <w:rFonts w:ascii="Times New Roman" w:hAnsi="Times New Roman" w:eastAsia="Calibri" w:cs="Times New Roman"/>
          <w:sz w:val="26"/>
          <w:szCs w:val="26"/>
        </w:rPr>
        <w:t xml:space="preserve">- </w:t>
      </w:r>
      <w:bookmarkEnd w:id="1"/>
      <w:r>
        <w:rPr>
          <w:rFonts w:ascii="Times New Roman" w:hAnsi="Times New Roman" w:eastAsia="Calibri" w:cs="Times New Roman"/>
          <w:sz w:val="26"/>
          <w:szCs w:val="26"/>
          <w:lang w:val="ru-RU"/>
        </w:rPr>
        <w:t xml:space="preserve">отсутствие</w:t>
      </w:r>
      <w:r>
        <w:rPr>
          <w:rFonts w:hint="default" w:ascii="Times New Roman" w:hAnsi="Times New Roman" w:eastAsia="Calibri" w:cs="Times New Roman"/>
          <w:sz w:val="26"/>
          <w:szCs w:val="26"/>
          <w:lang w:val="ru-RU"/>
        </w:rPr>
        <w:t xml:space="preserve"> возможности получения государственной поддержки </w:t>
      </w:r>
      <w:r>
        <w:rPr>
          <w:rFonts w:ascii="Times New Roman" w:hAnsi="Times New Roman" w:eastAsia="Calibri" w:cs="Times New Roman"/>
          <w:sz w:val="26"/>
          <w:szCs w:val="26"/>
        </w:rPr>
        <w:t xml:space="preserve">ветеранам</w:t>
      </w:r>
      <w:r>
        <w:rPr>
          <w:rFonts w:ascii="Times New Roman" w:hAnsi="Times New Roman" w:eastAsia="Calibri" w:cs="Times New Roman"/>
          <w:sz w:val="26"/>
          <w:szCs w:val="26"/>
          <w:lang w:val="ru-RU"/>
        </w:rPr>
        <w:t xml:space="preserve">и</w:t>
      </w:r>
      <w:r>
        <w:rPr>
          <w:rFonts w:ascii="Times New Roman" w:hAnsi="Times New Roman" w:eastAsia="Calibri" w:cs="Times New Roman"/>
          <w:sz w:val="26"/>
          <w:szCs w:val="26"/>
        </w:rPr>
        <w:t xml:space="preserve"> и участникам</w:t>
      </w:r>
      <w:r>
        <w:rPr>
          <w:rFonts w:ascii="Times New Roman" w:hAnsi="Times New Roman" w:eastAsia="Calibri" w:cs="Times New Roman"/>
          <w:sz w:val="26"/>
          <w:szCs w:val="26"/>
          <w:lang w:val="ru-RU"/>
        </w:rPr>
        <w:t xml:space="preserve">и</w:t>
      </w:r>
      <w:r>
        <w:rPr>
          <w:rFonts w:ascii="Times New Roman" w:hAnsi="Times New Roman" w:eastAsia="Calibri" w:cs="Times New Roman"/>
          <w:sz w:val="26"/>
          <w:szCs w:val="26"/>
        </w:rPr>
        <w:t xml:space="preserve"> специальной военной операции</w:t>
      </w:r>
      <w:r>
        <w:rPr>
          <w:rFonts w:hint="default" w:ascii="Times New Roman" w:hAnsi="Times New Roman" w:eastAsia="Calibri" w:cs="Times New Roman"/>
          <w:sz w:val="26"/>
          <w:szCs w:val="26"/>
          <w:lang w:val="ru-RU"/>
        </w:rPr>
        <w:t xml:space="preserve"> в отрасли сельского хозяйства.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2.4. Анализ опыта иных субъектов Российской Федерации </w:t>
      </w:r>
      <w:r>
        <w:rPr>
          <w:rFonts w:ascii="Times New Roman" w:hAnsi="Times New Roman" w:eastAsia="Calibri" w:cs="Times New Roman"/>
          <w:sz w:val="26"/>
          <w:szCs w:val="26"/>
        </w:rPr>
        <w:br/>
      </w:r>
      <w:r>
        <w:rPr>
          <w:rFonts w:ascii="Times New Roman" w:hAnsi="Times New Roman" w:eastAsia="Calibri" w:cs="Times New Roman"/>
          <w:sz w:val="26"/>
          <w:szCs w:val="26"/>
        </w:rPr>
        <w:t xml:space="preserve">в соответствующих сферах деятельности: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Calibri"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Анализ опыта иных субъектов Российской Федерации показал, что органами исполнительной власти </w:t>
      </w:r>
      <w:r>
        <w:rPr>
          <w:rFonts w:ascii="Times New Roman" w:hAnsi="Times New Roman" w:eastAsia="Calibri" w:cs="Times New Roman"/>
          <w:color w:val="000000" w:themeColor="text1"/>
          <w:sz w:val="26"/>
          <w:szCs w:val="26"/>
          <w:lang w:val="ru-RU"/>
          <w14:textFill>
            <w14:solidFill>
              <w14:schemeClr w14:val="tx1"/>
            </w14:solidFill>
          </w14:textFill>
        </w:rPr>
        <w:t xml:space="preserve">иных</w:t>
      </w:r>
      <w:r>
        <w:rPr>
          <w:rFonts w:ascii="Times New Roman" w:hAnsi="Times New Roman" w:eastAsia="Calibri"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 субъектов Российской Федерации ведутся работы по разработке аналогичных нормативных правовых актов, предусматривающих дополнительные меры государственной поддержки </w:t>
      </w:r>
      <w:r>
        <w:rPr>
          <w:rFonts w:ascii="Times New Roman" w:hAnsi="Times New Roman" w:eastAsia="Calibri" w:cs="Times New Roman"/>
          <w:sz w:val="26"/>
          <w:szCs w:val="26"/>
        </w:rPr>
        <w:t xml:space="preserve">ветеранам и участникам специальной военной операции</w:t>
      </w:r>
      <w:r>
        <w:rPr>
          <w:rFonts w:hint="default" w:ascii="Times New Roman" w:hAnsi="Times New Roman" w:eastAsia="Calibri" w:cs="Times New Roman"/>
          <w:color w:val="000000" w:themeColor="text1"/>
          <w:sz w:val="26"/>
          <w:szCs w:val="26"/>
          <w:lang w:val="ru-RU"/>
          <w14:textFill>
            <w14:solidFill>
              <w14:schemeClr w14:val="tx1"/>
            </w14:solidFill>
          </w14:textFill>
        </w:rPr>
        <w:t xml:space="preserve">, ж</w:t>
      </w:r>
      <w:r>
        <w:rPr>
          <w:rFonts w:hint="default" w:ascii="Times New Roman" w:hAnsi="Times New Roman" w:eastAsia="Calibri" w:cs="Times New Roman"/>
          <w:sz w:val="26"/>
          <w:szCs w:val="26"/>
          <w:lang w:val="ru-RU"/>
        </w:rPr>
        <w:t xml:space="preserve">елающим вести деятельность в сфере сельского хозяйства</w:t>
      </w:r>
      <w:r>
        <w:rPr>
          <w:rFonts w:ascii="Times New Roman" w:hAnsi="Times New Roman" w:eastAsia="Calibri"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3. Цели вводимого правового регулирования и измеримые показатели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br/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их достижения: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3.1. Описание целей предлагаемого правового регулирования: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  <w:t xml:space="preserve">Оказание государственной поддержки </w:t>
      </w:r>
      <w:r>
        <w:rPr>
          <w:rFonts w:ascii="Times New Roman" w:hAnsi="Times New Roman" w:eastAsia="Calibri" w:cs="Times New Roman"/>
          <w:sz w:val="26"/>
          <w:szCs w:val="26"/>
        </w:rPr>
        <w:t xml:space="preserve">ветеранам специальной военной операции</w:t>
      </w:r>
      <w:r>
        <w:rPr>
          <w:rFonts w:ascii="Times New Roman" w:hAnsi="Times New Roman" w:eastAsia="Calibri" w:cs="Times New Roman"/>
          <w:sz w:val="26"/>
          <w:szCs w:val="26"/>
          <w:lang w:val="ru-RU"/>
        </w:rPr>
        <w:t xml:space="preserve">, планирующим ведение деятельность в сфере сельского хозяйства на территории Белгородской области.</w:t>
      </w:r>
      <w:r>
        <w:rPr>
          <w:rFonts w:ascii="Times New Roman" w:hAnsi="Times New Roman" w:eastAsia="Calibri" w:cs="Times New Roman"/>
          <w:sz w:val="26"/>
          <w:szCs w:val="26"/>
        </w:rPr>
        <w:t xml:space="preserve"> </w:t>
      </w:r>
      <w:r>
        <w:rPr>
          <w:rFonts w:ascii="Times New Roman" w:hAnsi="Times New Roman" w:eastAsia="Calibri" w:cs="Times New Roman"/>
          <w:sz w:val="26"/>
          <w:szCs w:val="26"/>
        </w:rPr>
        <w:t xml:space="preserve">    </w:t>
      </w:r>
      <w:r>
        <w:rPr>
          <w:rFonts w:ascii="Times New Roman" w:hAnsi="Times New Roman" w:eastAsia="Calibri" w:cs="Times New Roman"/>
          <w:sz w:val="26"/>
          <w:szCs w:val="26"/>
        </w:rPr>
        <w:t xml:space="preserve"> </w:t>
      </w:r>
      <w:r>
        <w:rPr>
          <w:sz w:val="26"/>
          <w:szCs w:val="26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3.2. Обоснование соответствия целей предлагаемого правового регулирования принципам правового регулирования: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- проект нормативного правового акта разработан в соответствии с поста</w:t>
      </w:r>
      <w:r>
        <w:rPr>
          <w:rFonts w:ascii="Times New Roman" w:hAnsi="Times New Roman" w:eastAsia="Calibri" w:cs="Times New Roman"/>
          <w:sz w:val="26"/>
          <w:szCs w:val="26"/>
        </w:rPr>
        <w:t xml:space="preserve">новлением Правительства Российской Федерации от 25 октября 2023 года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</w:t>
      </w:r>
      <w:r>
        <w:rPr>
          <w:rFonts w:ascii="Times New Roman" w:hAnsi="Times New Roman" w:eastAsia="Calibri" w:cs="Times New Roman"/>
          <w:sz w:val="26"/>
          <w:szCs w:val="26"/>
        </w:rPr>
        <w:t xml:space="preserve">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субсидий»</w:t>
      </w:r>
      <w:r>
        <w:rPr>
          <w:rFonts w:hint="default" w:ascii="Times New Roman" w:hAnsi="Times New Roman" w:eastAsia="Calibri" w:cs="Times New Roman"/>
          <w:sz w:val="26"/>
          <w:szCs w:val="26"/>
          <w:lang w:val="ru-RU"/>
        </w:rPr>
        <w:t xml:space="preserve">, в целях реализации </w:t>
      </w:r>
      <w:r>
        <w:rPr>
          <w:rFonts w:hint="default" w:ascii="Times New Roman" w:hAnsi="Times New Roman" w:eastAsia="Calibri" w:cs="Times New Roman"/>
          <w:sz w:val="26"/>
          <w:szCs w:val="26"/>
          <w:lang w:val="ru-RU"/>
        </w:rPr>
        <w:fldChar w:fldCharType="begin"/>
      </w:r>
      <w:r>
        <w:rPr>
          <w:rFonts w:hint="default" w:ascii="Times New Roman" w:hAnsi="Times New Roman" w:eastAsia="Calibri" w:cs="Times New Roman"/>
          <w:sz w:val="26"/>
          <w:szCs w:val="26"/>
          <w:lang w:val="ru-RU"/>
        </w:rPr>
        <w:instrText xml:space="preserve"> HYPERLINK "https://login.consultant.ru/link/?req=doc&amp;base=LAW&amp;n=489116" </w:instrText>
      </w:r>
      <w:r>
        <w:rPr>
          <w:rFonts w:hint="default" w:ascii="Times New Roman" w:hAnsi="Times New Roman" w:eastAsia="Calibri" w:cs="Times New Roman"/>
          <w:sz w:val="26"/>
          <w:szCs w:val="26"/>
          <w:lang w:val="ru-RU"/>
        </w:rPr>
        <w:fldChar w:fldCharType="separate"/>
      </w:r>
      <w:r>
        <w:rPr>
          <w:rFonts w:hint="default" w:ascii="Times New Roman" w:hAnsi="Times New Roman" w:eastAsia="Calibri" w:cs="Times New Roman"/>
          <w:sz w:val="26"/>
          <w:szCs w:val="26"/>
          <w:lang w:val="ru-RU"/>
        </w:rPr>
        <w:t xml:space="preserve">постановления</w:t>
      </w:r>
      <w:r>
        <w:rPr>
          <w:rFonts w:hint="default" w:ascii="Times New Roman" w:hAnsi="Times New Roman" w:eastAsia="Calibri" w:cs="Times New Roman"/>
          <w:sz w:val="26"/>
          <w:szCs w:val="26"/>
          <w:lang w:val="ru-RU"/>
        </w:rPr>
        <w:fldChar w:fldCharType="end"/>
      </w:r>
      <w:r>
        <w:rPr>
          <w:rFonts w:hint="default" w:ascii="Times New Roman" w:hAnsi="Times New Roman" w:eastAsia="Calibri" w:cs="Times New Roman"/>
          <w:sz w:val="26"/>
          <w:szCs w:val="26"/>
          <w:lang w:val="ru-RU"/>
        </w:rPr>
        <w:t xml:space="preserve"> Правительства Российской Федерации от 14 июля 2012 года № 717 «О Государственной программе развития сельского хозяйства и регулирования рынков сельскохозяйственной продукции, сырья и продовольствия»</w:t>
      </w:r>
      <w:r>
        <w:rPr>
          <w:rFonts w:ascii="Times New Roman" w:hAnsi="Times New Roman" w:eastAsia="Calibri" w:cs="Times New Roman"/>
          <w:sz w:val="26"/>
          <w:szCs w:val="26"/>
        </w:rPr>
        <w:t xml:space="preserve">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3.3. Сроки достижения целей предлагаемого правового регулирования:                        </w:t>
      </w:r>
      <w:r>
        <w:rPr>
          <w:rFonts w:ascii="Times New Roman" w:hAnsi="Times New Roman" w:eastAsia="Calibri" w:cs="Times New Roman"/>
          <w:color w:val="000000" w:themeColor="text1"/>
          <w:sz w:val="26"/>
          <w:szCs w:val="26"/>
          <w:lang w:val="en-US"/>
          <w14:textFill>
            <w14:solidFill>
              <w14:schemeClr w14:val="tx1"/>
            </w14:solidFill>
          </w14:textFill>
        </w:rPr>
        <w:t xml:space="preserve">IV</w:t>
      </w:r>
      <w:r>
        <w:rPr>
          <w:rFonts w:ascii="Times New Roman" w:hAnsi="Times New Roman" w:eastAsia="Calibri"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 квартал 202</w:t>
      </w:r>
      <w:r>
        <w:rPr>
          <w:rFonts w:hint="default" w:ascii="Times New Roman" w:hAnsi="Times New Roman" w:eastAsia="Calibri" w:cs="Times New Roman"/>
          <w:color w:val="000000" w:themeColor="text1"/>
          <w:sz w:val="26"/>
          <w:szCs w:val="26"/>
          <w:lang w:val="ru-RU"/>
          <w14:textFill>
            <w14:solidFill>
              <w14:schemeClr w14:val="tx1"/>
            </w14:solidFill>
          </w14:textFill>
        </w:rPr>
        <w:t xml:space="preserve">5</w:t>
      </w:r>
      <w:r>
        <w:rPr>
          <w:rFonts w:ascii="Times New Roman" w:hAnsi="Times New Roman" w:eastAsia="Calibri"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 года.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3.4.</w:t>
      </w:r>
      <w:r>
        <w:rPr>
          <w:rFonts w:ascii="Times New Roman" w:hAnsi="Times New Roman" w:eastAsia="Calibri" w:cs="Times New Roman"/>
          <w:sz w:val="26"/>
          <w:szCs w:val="26"/>
          <w:lang w:val="en-US"/>
        </w:rPr>
        <w:t xml:space="preserve"> </w:t>
      </w:r>
      <w:r>
        <w:rPr>
          <w:rFonts w:ascii="Times New Roman" w:hAnsi="Times New Roman" w:eastAsia="Calibri" w:cs="Times New Roman"/>
          <w:sz w:val="26"/>
          <w:szCs w:val="26"/>
        </w:rPr>
        <w:t xml:space="preserve">Иная информация о целях предлагаемого правового регулирования: отсутствует.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/>
    </w:p>
    <w:p>
      <w:pPr>
        <w:contextualSpacing/>
        <w:ind w:left="709"/>
        <w:spacing w:after="0" w:line="240" w:lineRule="auto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4. Описание предлагаемого правового регулирования: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4.1. Описание предлагаемого способа решения проблемы и преодоления связанных с ней негативных эффектов: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4.1.1. Проектом постановления Правительства Белгородской области утверждается </w:t>
      </w:r>
      <w:r>
        <w:rPr>
          <w:rFonts w:ascii="Times New Roman" w:hAnsi="Times New Roman" w:cs="Times New Roman"/>
          <w:sz w:val="26"/>
          <w:szCs w:val="26"/>
        </w:rPr>
        <w:t xml:space="preserve">порядок предоставления из областного бюджета </w:t>
      </w:r>
      <w:r>
        <w:rPr>
          <w:rFonts w:ascii="Times New Roman" w:hAnsi="Times New Roman" w:cs="Times New Roman"/>
          <w:sz w:val="26"/>
          <w:szCs w:val="26"/>
        </w:rPr>
        <w:t xml:space="preserve">грантов</w:t>
      </w:r>
      <w:r>
        <w:rPr>
          <w:rFonts w:ascii="Times New Roman" w:hAnsi="Times New Roman" w:cs="Times New Roman"/>
          <w:sz w:val="26"/>
          <w:szCs w:val="26"/>
        </w:rPr>
        <w:t xml:space="preserve"> в форме субсидий</w:t>
      </w:r>
      <w:r>
        <w:rPr>
          <w:rFonts w:ascii="Times New Roman" w:hAnsi="Times New Roman" w:cs="Times New Roman"/>
          <w:sz w:val="26"/>
          <w:szCs w:val="26"/>
        </w:rPr>
        <w:t xml:space="preserve"> «</w:t>
      </w:r>
      <w:r>
        <w:rPr>
          <w:rFonts w:ascii="Times New Roman" w:hAnsi="Times New Roman" w:cs="Times New Roman"/>
          <w:sz w:val="26"/>
          <w:szCs w:val="26"/>
        </w:rPr>
        <w:t xml:space="preserve">Агромотиватор</w:t>
      </w:r>
      <w:r>
        <w:rPr>
          <w:rFonts w:ascii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hAnsi="Times New Roman" w:cs="Times New Roman"/>
          <w:sz w:val="26"/>
          <w:szCs w:val="26"/>
        </w:rPr>
        <w:t xml:space="preserve">на оказание государстве</w:t>
      </w:r>
      <w:r>
        <w:rPr>
          <w:rFonts w:ascii="Times New Roman" w:hAnsi="Times New Roman" w:cs="Times New Roman"/>
          <w:sz w:val="26"/>
          <w:szCs w:val="26"/>
        </w:rPr>
        <w:t xml:space="preserve">н</w:t>
      </w:r>
      <w:r>
        <w:rPr>
          <w:rFonts w:ascii="Times New Roman" w:hAnsi="Times New Roman" w:cs="Times New Roman"/>
          <w:sz w:val="26"/>
          <w:szCs w:val="26"/>
        </w:rPr>
        <w:t xml:space="preserve">ной поддержки </w:t>
      </w:r>
      <w:r>
        <w:rPr>
          <w:rFonts w:ascii="Times New Roman" w:hAnsi="Times New Roman" w:cs="Times New Roman"/>
          <w:sz w:val="26"/>
          <w:szCs w:val="26"/>
        </w:rPr>
        <w:t xml:space="preserve">ветеранам и участникам специальной военной операции, связанной с началом осуществления ими предпринимательской деятельности в агропромышленном комплексе</w:t>
      </w:r>
      <w:r>
        <w:rPr>
          <w:rFonts w:ascii="Times New Roman" w:hAnsi="Times New Roman" w:cs="Times New Roman"/>
          <w:spacing w:val="-6"/>
          <w:sz w:val="26"/>
          <w:szCs w:val="26"/>
        </w:rPr>
        <w:t xml:space="preserve">,</w:t>
      </w:r>
      <w:r>
        <w:rPr>
          <w:rFonts w:ascii="Times New Roman" w:hAnsi="Times New Roman" w:eastAsia="Calibri" w:cs="Times New Roman"/>
          <w:sz w:val="26"/>
          <w:szCs w:val="26"/>
        </w:rPr>
        <w:t xml:space="preserve"> предусматривающий: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ind w:firstLine="709"/>
        <w:jc w:val="left"/>
        <w:spacing w:after="0" w:line="240" w:lineRule="auto"/>
        <w:widowControl w:val="off"/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  <w:outlineLvl w:val="1"/>
      </w:pP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lang w:eastAsia="ru-RU"/>
        </w:rPr>
        <w:t xml:space="preserve">- порядок проведения конкурса среди заявителей для предоставления гранта</w:t>
      </w:r>
      <w:r>
        <w:rPr>
          <w:rFonts w:ascii="Times New Roman" w:hAnsi="Times New Roman" w:eastAsia="Calibri" w:cs="Times New Roman"/>
          <w:b w:val="0"/>
          <w:bCs w:val="0"/>
          <w:sz w:val="26"/>
          <w:szCs w:val="26"/>
          <w:highlight w:val="none"/>
        </w:rPr>
        <w:t xml:space="preserve">;</w:t>
      </w:r>
      <w:r/>
    </w:p>
    <w:p>
      <w:pPr>
        <w:ind w:firstLine="709"/>
        <w:jc w:val="left"/>
        <w:spacing w:after="0" w:line="240" w:lineRule="auto"/>
        <w:widowControl w:val="off"/>
        <w:rPr>
          <w:rFonts w:ascii="Times New Roman" w:hAnsi="Times New Roman" w:eastAsia="Calibri" w:cs="Times New Roman"/>
          <w:b w:val="0"/>
          <w:bCs w:val="0"/>
          <w:sz w:val="26"/>
          <w:szCs w:val="26"/>
          <w:highlight w:val="none"/>
        </w:rPr>
        <w:outlineLvl w:val="1"/>
      </w:pPr>
      <w:r>
        <w:rPr>
          <w:rFonts w:ascii="Times New Roman" w:hAnsi="Times New Roman" w:eastAsia="Calibri" w:cs="Times New Roman"/>
          <w:b w:val="0"/>
          <w:bCs w:val="0"/>
          <w:sz w:val="26"/>
          <w:szCs w:val="26"/>
          <w:highlight w:val="none"/>
        </w:rPr>
        <w:t xml:space="preserve">- 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lang w:eastAsia="ru-RU"/>
        </w:rPr>
        <w:t xml:space="preserve">условия и порядок предоставления гранта</w:t>
      </w:r>
      <w:r>
        <w:rPr>
          <w:rFonts w:ascii="Times New Roman" w:hAnsi="Times New Roman" w:eastAsia="Calibri" w:cs="Times New Roman"/>
          <w:b w:val="0"/>
          <w:bCs w:val="0"/>
          <w:sz w:val="26"/>
          <w:szCs w:val="26"/>
          <w:highlight w:val="none"/>
        </w:rPr>
        <w:t xml:space="preserve">;</w:t>
      </w:r>
      <w:r/>
    </w:p>
    <w:p>
      <w:pPr>
        <w:ind w:firstLine="709"/>
        <w:jc w:val="left"/>
        <w:spacing w:after="0" w:line="240" w:lineRule="auto"/>
        <w:widowControl w:val="off"/>
        <w:rPr>
          <w:rFonts w:ascii="Times New Roman" w:hAnsi="Times New Roman" w:eastAsia="Calibri" w:cs="Times New Roman"/>
          <w:b w:val="0"/>
          <w:bCs w:val="0"/>
          <w:sz w:val="26"/>
          <w:szCs w:val="26"/>
          <w:highlight w:val="none"/>
        </w:rPr>
        <w:outlineLvl w:val="1"/>
      </w:pPr>
      <w:r>
        <w:rPr>
          <w:rFonts w:ascii="Times New Roman" w:hAnsi="Times New Roman" w:eastAsia="Calibri" w:cs="Times New Roman"/>
          <w:b w:val="0"/>
          <w:bCs w:val="0"/>
          <w:sz w:val="26"/>
          <w:szCs w:val="26"/>
          <w:highlight w:val="none"/>
        </w:rPr>
        <w:t xml:space="preserve">- порядок предоставления отчетности;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b w:val="0"/>
          <w:bCs w:val="0"/>
        </w:rPr>
        <w:outlineLvl w:val="1"/>
      </w:pPr>
      <w:r>
        <w:rPr>
          <w:rFonts w:ascii="Times New Roman" w:hAnsi="Times New Roman" w:eastAsia="Calibri" w:cs="Times New Roman"/>
          <w:b w:val="0"/>
          <w:bCs w:val="0"/>
          <w:sz w:val="26"/>
          <w:szCs w:val="26"/>
          <w:highlight w:val="none"/>
        </w:rPr>
        <w:t xml:space="preserve">- 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lang w:eastAsia="ru-RU"/>
        </w:rPr>
        <w:t xml:space="preserve">требования к осуществлению контроля за соблюдением</w:t>
      </w:r>
      <w:r>
        <w:rPr>
          <w:rFonts w:ascii="Times New Roman" w:hAnsi="Times New Roman" w:cs="Times New Roman"/>
          <w:b w:val="0"/>
          <w:bCs w:val="0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lang w:eastAsia="ru-RU"/>
        </w:rPr>
        <w:t xml:space="preserve">условий и порядка предоставления гранта и ответственности за их нарушение</w:t>
      </w:r>
      <w:r>
        <w:rPr>
          <w:rFonts w:ascii="Times New Roman" w:hAnsi="Times New Roman" w:cs="Times New Roman"/>
          <w:b w:val="0"/>
          <w:bCs w:val="0"/>
        </w:rPr>
        <w:t xml:space="preserve">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4.2. Альтернативные варианты решения проблемы: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:highlight w:val="none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- осуществление деятельности</w:t>
      </w:r>
      <w:r>
        <w:rPr>
          <w:rFonts w:hint="default" w:ascii="Times New Roman" w:hAnsi="Times New Roman" w:eastAsia="Calibri" w:cs="Times New Roman"/>
          <w:sz w:val="26"/>
          <w:szCs w:val="26"/>
          <w:lang w:val="ru-RU"/>
        </w:rPr>
        <w:t xml:space="preserve"> в</w:t>
      </w:r>
      <w:r>
        <w:rPr>
          <w:rFonts w:ascii="Times New Roman" w:hAnsi="Times New Roman" w:eastAsia="Calibri" w:cs="Times New Roman"/>
          <w:sz w:val="26"/>
          <w:szCs w:val="26"/>
          <w:lang w:eastAsia="ru-RU"/>
        </w:rPr>
        <w:t xml:space="preserve">етеранами и участниками специальной военной операции</w:t>
      </w:r>
      <w:r>
        <w:rPr>
          <w:rFonts w:ascii="Times New Roman" w:hAnsi="Times New Roman" w:eastAsia="Calibri" w:cs="Times New Roman"/>
          <w:sz w:val="26"/>
          <w:szCs w:val="26"/>
        </w:rPr>
        <w:t xml:space="preserve"> </w:t>
      </w:r>
      <w:r>
        <w:rPr>
          <w:rFonts w:ascii="Times New Roman" w:hAnsi="Times New Roman" w:eastAsia="Calibri" w:cs="Times New Roman"/>
          <w:sz w:val="26"/>
          <w:szCs w:val="26"/>
          <w:lang w:val="ru-RU"/>
        </w:rPr>
        <w:t xml:space="preserve">в</w:t>
      </w:r>
      <w:r>
        <w:rPr>
          <w:rFonts w:ascii="Times New Roman" w:hAnsi="Times New Roman" w:eastAsia="Calibri" w:cs="Times New Roman"/>
          <w:sz w:val="26"/>
          <w:szCs w:val="26"/>
          <w:lang w:eastAsia="ru-RU"/>
        </w:rPr>
        <w:t xml:space="preserve"> агропромышленном комплексе</w:t>
      </w:r>
      <w:r>
        <w:rPr>
          <w:rFonts w:ascii="Times New Roman" w:hAnsi="Times New Roman" w:eastAsia="Calibri" w:cs="Times New Roman"/>
          <w:sz w:val="26"/>
          <w:szCs w:val="26"/>
        </w:rPr>
        <w:t xml:space="preserve"> за счёт собственных или заёмных (кредитных) средств</w:t>
      </w:r>
      <w:r>
        <w:rPr>
          <w:rFonts w:ascii="Times New Roman" w:hAnsi="Times New Roman" w:eastAsia="Calibri" w:cs="Times New Roman"/>
          <w:sz w:val="28"/>
          <w:szCs w:val="28"/>
        </w:rPr>
        <w:t xml:space="preserve">. </w:t>
      </w:r>
      <w:r/>
    </w:p>
    <w:p>
      <w:pPr>
        <w:ind w:firstLine="709"/>
        <w:jc w:val="both"/>
        <w:spacing w:after="0" w:line="240" w:lineRule="auto"/>
        <w:rPr>
          <w:rFonts w:hint="default" w:ascii="Times New Roman" w:hAnsi="Times New Roman" w:eastAsia="Calibri" w:cs="Times New Roman"/>
          <w:sz w:val="26"/>
          <w:szCs w:val="26"/>
          <w:highlight w:val="none"/>
          <w:lang w:val="ru-RU" w:eastAsia="zh-CN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Так, например, при размере </w:t>
      </w:r>
      <w:r>
        <w:rPr>
          <w:rFonts w:ascii="Times New Roman" w:hAnsi="Times New Roman" w:cs="Times New Roman"/>
          <w:spacing w:val="-6"/>
          <w:sz w:val="26"/>
          <w:szCs w:val="26"/>
        </w:rPr>
        <w:t xml:space="preserve">гранта </w:t>
      </w:r>
      <w:r>
        <w:rPr>
          <w:rFonts w:hint="default" w:ascii="Times New Roman" w:hAnsi="Times New Roman" w:cs="Times New Roman"/>
          <w:spacing w:val="-6"/>
          <w:sz w:val="26"/>
          <w:szCs w:val="26"/>
          <w:lang w:val="ru-RU"/>
        </w:rPr>
        <w:t xml:space="preserve">«Агромотиватор»</w:t>
      </w:r>
      <w:r>
        <w:rPr>
          <w:rFonts w:ascii="Times New Roman" w:hAnsi="Times New Roman" w:eastAsia="Calibri" w:cs="Times New Roman"/>
          <w:sz w:val="26"/>
          <w:szCs w:val="26"/>
        </w:rPr>
        <w:t xml:space="preserve"> в сумме </w:t>
      </w:r>
      <w:r>
        <w:rPr>
          <w:rFonts w:ascii="Times New Roman" w:hAnsi="Times New Roman" w:eastAsia="Calibri" w:cs="Times New Roman"/>
          <w:sz w:val="26"/>
          <w:szCs w:val="26"/>
        </w:rPr>
        <w:t xml:space="preserve">5 млн руб. (на </w:t>
      </w:r>
      <w:r>
        <w:rPr>
          <w:rFonts w:ascii="Times New Roman" w:hAnsi="Times New Roman" w:eastAsia="Calibri" w:cs="Times New Roman"/>
          <w:strike w:val="0"/>
          <w:sz w:val="26"/>
          <w:szCs w:val="26"/>
        </w:rPr>
        <w:t xml:space="preserve">развитие </w:t>
      </w:r>
      <w:r>
        <w:rPr>
          <w:rFonts w:ascii="Times New Roman" w:hAnsi="Times New Roman" w:eastAsia="Times New Roman" w:cs="Times New Roman"/>
          <w:strike w:val="0"/>
          <w:sz w:val="26"/>
          <w:szCs w:val="26"/>
          <w:lang w:eastAsia="ru-RU"/>
        </w:rPr>
        <w:t xml:space="preserve">овощеводства, картофелеводства и иных видов деятельности)</w:t>
      </w:r>
      <w:r>
        <w:rPr>
          <w:rFonts w:ascii="Times New Roman" w:hAnsi="Times New Roman" w:eastAsia="Calibri" w:cs="Times New Roman"/>
          <w:strike w:val="0"/>
          <w:sz w:val="26"/>
          <w:szCs w:val="26"/>
        </w:rPr>
        <w:t xml:space="preserve">, </w:t>
      </w:r>
      <w:r>
        <w:rPr>
          <w:rFonts w:ascii="Times New Roman" w:hAnsi="Times New Roman" w:eastAsia="Calibri" w:cs="Times New Roman"/>
          <w:sz w:val="26"/>
          <w:szCs w:val="26"/>
        </w:rPr>
        <w:t xml:space="preserve">в случае привлечения заемных средств в вышеуказанной сумме под процентную ставку в размере 5% (в сфере АПК) на </w:t>
      </w:r>
      <w:r>
        <w:rPr>
          <w:rFonts w:hint="default" w:ascii="Times New Roman" w:hAnsi="Times New Roman" w:eastAsia="Calibri" w:cs="Times New Roman"/>
          <w:sz w:val="26"/>
          <w:szCs w:val="26"/>
          <w:lang w:val="ru-RU"/>
        </w:rPr>
        <w:t xml:space="preserve">30</w:t>
      </w:r>
      <w:r>
        <w:rPr>
          <w:rFonts w:ascii="Times New Roman" w:hAnsi="Times New Roman" w:eastAsia="Calibri" w:cs="Times New Roman"/>
          <w:sz w:val="26"/>
          <w:szCs w:val="26"/>
        </w:rPr>
        <w:t xml:space="preserve"> месяцев </w:t>
      </w:r>
      <w:r>
        <w:rPr>
          <w:rFonts w:ascii="Times New Roman" w:hAnsi="Times New Roman" w:eastAsia="Calibri" w:cs="Times New Roman"/>
          <w:sz w:val="26"/>
          <w:szCs w:val="26"/>
        </w:rPr>
        <w:t xml:space="preserve">(</w:t>
      </w:r>
      <w:r>
        <w:rPr>
          <w:rFonts w:ascii="Times New Roman" w:hAnsi="Times New Roman" w:cs="Times New Roman"/>
          <w:sz w:val="26"/>
          <w:szCs w:val="26"/>
        </w:rPr>
        <w:t xml:space="preserve">срок использования средств гранта</w:t>
      </w:r>
      <w:r>
        <w:rPr>
          <w:rFonts w:ascii="Times New Roman" w:hAnsi="Times New Roman" w:eastAsia="Calibri" w:cs="Times New Roman"/>
          <w:sz w:val="26"/>
          <w:szCs w:val="26"/>
        </w:rPr>
        <w:t xml:space="preserve">) переплата сельхозтоваропроизводителей составит 329</w:t>
      </w:r>
      <w:r>
        <w:rPr>
          <w:rFonts w:hint="default" w:ascii="Times New Roman" w:hAnsi="Times New Roman" w:eastAsia="Calibri" w:cs="Times New Roman"/>
          <w:sz w:val="26"/>
          <w:szCs w:val="26"/>
          <w:lang w:val="ru-RU" w:eastAsia="zh-CN"/>
        </w:rPr>
        <w:t xml:space="preserve">,4 тыс.руб.</w:t>
      </w:r>
      <w:r>
        <w:rPr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hint="default" w:ascii="Times New Roman" w:hAnsi="Times New Roman" w:eastAsia="Calibri" w:cs="Times New Roman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При размере </w:t>
      </w:r>
      <w:r>
        <w:rPr>
          <w:rFonts w:ascii="Times New Roman" w:hAnsi="Times New Roman" w:cs="Times New Roman"/>
          <w:spacing w:val="-6"/>
          <w:sz w:val="26"/>
          <w:szCs w:val="26"/>
        </w:rPr>
        <w:t xml:space="preserve">гранта </w:t>
      </w:r>
      <w:r>
        <w:rPr>
          <w:rFonts w:hint="default" w:ascii="Times New Roman" w:hAnsi="Times New Roman" w:cs="Times New Roman"/>
          <w:spacing w:val="-6"/>
          <w:sz w:val="26"/>
          <w:szCs w:val="26"/>
          <w:lang w:val="ru-RU"/>
        </w:rPr>
        <w:t xml:space="preserve">«Агромотиватор»</w:t>
      </w:r>
      <w:r>
        <w:rPr>
          <w:rFonts w:ascii="Times New Roman" w:hAnsi="Times New Roman" w:eastAsia="Calibri" w:cs="Times New Roman"/>
          <w:sz w:val="26"/>
          <w:szCs w:val="26"/>
        </w:rPr>
        <w:t xml:space="preserve"> в сумме </w:t>
      </w:r>
      <w:r>
        <w:rPr>
          <w:rFonts w:ascii="Times New Roman" w:hAnsi="Times New Roman" w:eastAsia="Calibri" w:cs="Times New Roman"/>
          <w:sz w:val="26"/>
          <w:szCs w:val="26"/>
        </w:rPr>
        <w:t xml:space="preserve">7 млн руб. </w:t>
      </w:r>
      <w:r>
        <w:rPr>
          <w:rFonts w:ascii="Times New Roman" w:hAnsi="Times New Roman" w:eastAsia="Calibri" w:cs="Times New Roman"/>
          <w:sz w:val="26"/>
          <w:szCs w:val="26"/>
        </w:rPr>
        <w:t xml:space="preserve">(на </w:t>
      </w:r>
      <w:r>
        <w:rPr>
          <w:rFonts w:ascii="Times New Roman" w:hAnsi="Times New Roman" w:cs="Times New Roman"/>
          <w:sz w:val="26"/>
          <w:szCs w:val="26"/>
        </w:rPr>
        <w:t xml:space="preserve">разведение крупного рогатого скота мясного или молочного направлений продуктивности</w:t>
      </w:r>
      <w:r>
        <w:rPr>
          <w:rFonts w:ascii="Times New Roman" w:hAnsi="Times New Roman" w:eastAsia="Times New Roman" w:cs="Times New Roman"/>
          <w:strike w:val="0"/>
          <w:sz w:val="26"/>
          <w:szCs w:val="26"/>
          <w:lang w:eastAsia="ru-RU"/>
        </w:rPr>
        <w:t xml:space="preserve">)</w:t>
      </w:r>
      <w:r>
        <w:rPr>
          <w:rFonts w:ascii="Times New Roman" w:hAnsi="Times New Roman" w:eastAsia="Calibri" w:cs="Times New Roman"/>
          <w:strike w:val="0"/>
          <w:sz w:val="26"/>
          <w:szCs w:val="26"/>
        </w:rPr>
        <w:t xml:space="preserve">, </w:t>
      </w:r>
      <w:r>
        <w:rPr>
          <w:rFonts w:ascii="Times New Roman" w:hAnsi="Times New Roman" w:eastAsia="Calibri" w:cs="Times New Roman"/>
          <w:sz w:val="26"/>
          <w:szCs w:val="26"/>
        </w:rPr>
        <w:t xml:space="preserve">в случае привлечения заемных средств в вышеуказанной сумме под процентную </w:t>
      </w:r>
      <w:r>
        <w:rPr>
          <w:rFonts w:ascii="Times New Roman" w:hAnsi="Times New Roman" w:eastAsia="Calibri" w:cs="Times New Roman"/>
          <w:sz w:val="26"/>
          <w:szCs w:val="26"/>
        </w:rPr>
        <w:t xml:space="preserve">ставку в размере 5% (в сфере АПК) на </w:t>
      </w:r>
      <w:r>
        <w:rPr>
          <w:rFonts w:hint="default" w:ascii="Times New Roman" w:hAnsi="Times New Roman" w:eastAsia="Calibri" w:cs="Times New Roman"/>
          <w:sz w:val="26"/>
          <w:szCs w:val="26"/>
          <w:lang w:val="ru-RU"/>
        </w:rPr>
        <w:t xml:space="preserve">30</w:t>
      </w:r>
      <w:r>
        <w:rPr>
          <w:rFonts w:ascii="Times New Roman" w:hAnsi="Times New Roman" w:eastAsia="Calibri" w:cs="Times New Roman"/>
          <w:sz w:val="26"/>
          <w:szCs w:val="26"/>
        </w:rPr>
        <w:t xml:space="preserve"> месяцев </w:t>
      </w:r>
      <w:r>
        <w:rPr>
          <w:rFonts w:ascii="Times New Roman" w:hAnsi="Times New Roman" w:eastAsia="Calibri" w:cs="Times New Roman"/>
          <w:sz w:val="26"/>
          <w:szCs w:val="26"/>
        </w:rPr>
        <w:t xml:space="preserve">(</w:t>
      </w:r>
      <w:r>
        <w:rPr>
          <w:rFonts w:ascii="Times New Roman" w:hAnsi="Times New Roman" w:cs="Times New Roman"/>
          <w:sz w:val="26"/>
          <w:szCs w:val="26"/>
        </w:rPr>
        <w:t xml:space="preserve">срок использования средств гранта</w:t>
      </w:r>
      <w:r>
        <w:rPr>
          <w:rFonts w:ascii="Times New Roman" w:hAnsi="Times New Roman" w:eastAsia="Calibri" w:cs="Times New Roman"/>
          <w:sz w:val="26"/>
          <w:szCs w:val="26"/>
        </w:rPr>
        <w:t xml:space="preserve">) переплата сельхозтоваропроизводителей составит 461</w:t>
      </w:r>
      <w:r>
        <w:rPr>
          <w:rFonts w:hint="default" w:ascii="Times New Roman" w:hAnsi="Times New Roman" w:eastAsia="Calibri" w:cs="Times New Roman"/>
          <w:sz w:val="26"/>
          <w:szCs w:val="26"/>
          <w:lang w:val="ru-RU" w:eastAsia="zh-CN"/>
        </w:rPr>
        <w:t xml:space="preserve">,2 тыс.руб.</w:t>
      </w:r>
      <w:r>
        <w:rPr>
          <w:rFonts w:hint="default" w:ascii="Times New Roman" w:hAnsi="Times New Roman" w:eastAsia="Calibri" w:cs="Times New Roman"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Таким образом получение государственной поддержки для </w:t>
      </w:r>
      <w:r>
        <w:rPr>
          <w:rFonts w:ascii="Times New Roman" w:hAnsi="Times New Roman" w:eastAsia="Calibri" w:cs="Times New Roman"/>
          <w:sz w:val="26"/>
          <w:szCs w:val="26"/>
          <w:lang w:eastAsia="ru-RU"/>
        </w:rPr>
        <w:t xml:space="preserve">ветеранов и участников специальной военной операции</w:t>
      </w:r>
      <w:r>
        <w:rPr>
          <w:rFonts w:ascii="Times New Roman" w:hAnsi="Times New Roman" w:eastAsia="Calibri" w:cs="Times New Roman"/>
          <w:sz w:val="26"/>
          <w:szCs w:val="26"/>
        </w:rPr>
        <w:t xml:space="preserve"> является финансово более выгодным, чем привлечение заемных ресурсов.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4.3. Обоснование выбора предлагаемого способа решения проблемы: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Оптимальным способом решения проблемы считаем принятие проекта постановления Правительства Белгородской области, позволяющего</w:t>
      </w:r>
      <w:r>
        <w:rPr>
          <w:rFonts w:ascii="Times New Roman" w:hAnsi="Times New Roman" w:eastAsia="Calibri" w:cs="Times New Roman"/>
          <w:sz w:val="26"/>
          <w:szCs w:val="26"/>
        </w:rPr>
        <w:t xml:space="preserve"> оказывать государственную поддержку в виде </w:t>
      </w:r>
      <w:r>
        <w:rPr>
          <w:rFonts w:ascii="Times New Roman" w:hAnsi="Times New Roman" w:cs="Times New Roman"/>
          <w:sz w:val="26"/>
          <w:szCs w:val="26"/>
        </w:rPr>
        <w:t xml:space="preserve">грантов</w:t>
      </w:r>
      <w:r>
        <w:rPr>
          <w:rFonts w:ascii="Times New Roman" w:hAnsi="Times New Roman" w:cs="Times New Roman"/>
          <w:sz w:val="26"/>
          <w:szCs w:val="26"/>
        </w:rPr>
        <w:t xml:space="preserve"> в форме субсидий</w:t>
      </w:r>
      <w:r>
        <w:rPr>
          <w:rFonts w:ascii="Times New Roman" w:hAnsi="Times New Roman" w:cs="Times New Roman"/>
          <w:sz w:val="26"/>
          <w:szCs w:val="26"/>
        </w:rPr>
        <w:t xml:space="preserve"> «</w:t>
      </w:r>
      <w:r>
        <w:rPr>
          <w:rFonts w:ascii="Times New Roman" w:hAnsi="Times New Roman" w:cs="Times New Roman"/>
          <w:sz w:val="26"/>
          <w:szCs w:val="26"/>
        </w:rPr>
        <w:t xml:space="preserve">Агромотиватор</w:t>
      </w:r>
      <w:r>
        <w:rPr>
          <w:rFonts w:ascii="Times New Roman" w:hAnsi="Times New Roman" w:cs="Times New Roman"/>
          <w:sz w:val="26"/>
          <w:szCs w:val="26"/>
        </w:rPr>
        <w:t xml:space="preserve">»</w:t>
      </w:r>
      <w:r>
        <w:rPr>
          <w:rFonts w:ascii="Times New Roman" w:hAnsi="Times New Roman" w:eastAsia="Calibri" w:cs="Times New Roman"/>
          <w:sz w:val="26"/>
          <w:szCs w:val="26"/>
        </w:rPr>
        <w:t xml:space="preserve"> </w:t>
      </w:r>
      <w:r>
        <w:rPr>
          <w:rFonts w:ascii="Times New Roman" w:hAnsi="Times New Roman" w:eastAsia="Calibri" w:cs="Times New Roman"/>
          <w:sz w:val="26"/>
          <w:szCs w:val="26"/>
        </w:rPr>
        <w:t xml:space="preserve">ветеранам специальной военной операции на осуществление ими предпринимательской деятельности в</w:t>
      </w:r>
      <w:r>
        <w:rPr>
          <w:rFonts w:hint="default" w:ascii="Times New Roman" w:hAnsi="Times New Roman" w:eastAsia="Calibri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eastAsia="Calibri" w:cs="Times New Roman"/>
          <w:sz w:val="26"/>
          <w:szCs w:val="26"/>
        </w:rPr>
        <w:t xml:space="preserve">агропромышленном комплексе</w:t>
      </w:r>
      <w:r>
        <w:rPr>
          <w:rFonts w:hint="default" w:ascii="Times New Roman" w:hAnsi="Times New Roman" w:eastAsia="Calibri" w:cs="Times New Roman"/>
          <w:sz w:val="26"/>
          <w:szCs w:val="26"/>
          <w:lang w:val="ru-RU"/>
        </w:rPr>
        <w:t xml:space="preserve"> на территории Белгородской области.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4.4.</w:t>
      </w:r>
      <w:r>
        <w:rPr>
          <w:rFonts w:ascii="Times New Roman" w:hAnsi="Times New Roman" w:eastAsia="Calibri" w:cs="Times New Roman"/>
          <w:sz w:val="26"/>
          <w:szCs w:val="26"/>
          <w:lang w:eastAsia="ru-RU"/>
        </w:rPr>
        <w:t xml:space="preserve"> </w:t>
      </w:r>
      <w:r>
        <w:rPr>
          <w:rFonts w:ascii="Times New Roman" w:hAnsi="Times New Roman" w:eastAsia="Calibri" w:cs="Times New Roman"/>
          <w:bCs/>
          <w:sz w:val="26"/>
          <w:szCs w:val="26"/>
        </w:rPr>
        <w:t xml:space="preserve">Основные группы субъектов предпринимательской и иной экономической деятельности, иные заинтересованные лица, включая органы государственной власти, интересы которых будут затронуты предлагаемым правовым регулированием. Оценка их количественного состава: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color w:val="ff0000"/>
          <w:sz w:val="26"/>
          <w:szCs w:val="26"/>
        </w:rPr>
      </w:pPr>
      <w:r>
        <w:rPr>
          <w:rFonts w:ascii="Times New Roman" w:hAnsi="Times New Roman" w:eastAsia="Calibri" w:cs="Times New Roman"/>
          <w:color w:val="ff0000"/>
          <w:sz w:val="26"/>
          <w:szCs w:val="26"/>
        </w:rPr>
      </w:r>
      <w:r/>
    </w:p>
    <w:tbl>
      <w:tblPr>
        <w:tblStyle w:val="645"/>
        <w:tblpPr w:horzAnchor="margin" w:tblpXSpec="left" w:vertAnchor="text" w:tblpY="50" w:leftFromText="180" w:topFromText="0" w:rightFromText="180" w:bottomFromText="0"/>
        <w:tblW w:w="96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top w:w="0" w:type="dxa"/>
          <w:right w:w="28" w:type="dxa"/>
          <w:bottom w:w="0" w:type="dxa"/>
        </w:tblCellMar>
        <w:tblLook w:val="04A0" w:firstRow="1" w:lastRow="0" w:firstColumn="1" w:lastColumn="0" w:noHBand="0" w:noVBand="1"/>
      </w:tblPr>
      <w:tblGrid>
        <w:gridCol w:w="6832"/>
        <w:gridCol w:w="2835"/>
      </w:tblGrid>
      <w:tr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32" w:type="dxa"/>
            <w:textDirection w:val="lrTb"/>
            <w:noWrap w:val="false"/>
          </w:tcPr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Группа участников отношений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Оценка количества участников отношений</w:t>
            </w:r>
            <w:r/>
          </w:p>
        </w:tc>
      </w:tr>
      <w:tr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32" w:type="dxa"/>
            <w:textDirection w:val="lrTb"/>
            <w:noWrap w:val="false"/>
          </w:tcPr>
          <w:p>
            <w:pPr>
              <w:ind w:left="57" w:right="57"/>
              <w:jc w:val="both"/>
              <w:keepLines/>
              <w:keepNext/>
              <w:spacing w:after="0" w:line="240" w:lineRule="auto"/>
              <w:rPr>
                <w:rFonts w:ascii="Times New Roman" w:hAnsi="Times New Roman" w:cs="Times New Roman" w:eastAsiaTheme="minorHAnsi"/>
                <w:iCs/>
                <w:sz w:val="26"/>
                <w:szCs w:val="26"/>
                <w:highlight w:val="none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  <w:lang w:val="ru-RU"/>
              </w:rPr>
            </w:r>
            <w:r>
              <w:rPr>
                <w:rFonts w:ascii="Times New Roman" w:hAnsi="Times New Roman" w:cs="Times New Roman" w:eastAsiaTheme="minorHAnsi"/>
                <w:sz w:val="26"/>
                <w:szCs w:val="26"/>
                <w:lang w:eastAsia="en-US"/>
              </w:rPr>
              <w:t xml:space="preserve">Граждане Российской Федерации из числа ветеранов боевых действий, осуществлявших выполнение задач в ходе специальной военной операции</w:t>
            </w:r>
            <w:r>
              <w:rPr>
                <w:rFonts w:hint="default" w:ascii="Times New Roman" w:hAnsi="Times New Roman" w:eastAsia="Calibri" w:cs="Times New Roman"/>
                <w:sz w:val="26"/>
                <w:szCs w:val="26"/>
                <w:lang w:val="ru-RU"/>
              </w:rPr>
              <w:t xml:space="preserve">, </w:t>
            </w:r>
            <w:r>
              <w:rPr>
                <w:rFonts w:ascii="Times New Roman" w:hAnsi="Times New Roman" w:cs="Times New Roman" w:eastAsiaTheme="minorHAnsi"/>
                <w:sz w:val="26"/>
                <w:szCs w:val="26"/>
                <w:lang w:eastAsia="en-US"/>
              </w:rPr>
              <w:t xml:space="preserve">зарегистрированные в качестве крестьянского (фермерского) хозяйства </w:t>
            </w:r>
            <w:r>
              <w:rPr>
                <w:rFonts w:ascii="Times New Roman" w:hAnsi="Times New Roman" w:cs="Times New Roman" w:eastAsiaTheme="minorHAnsi"/>
                <w:sz w:val="26"/>
                <w:szCs w:val="26"/>
                <w:lang w:eastAsia="en-US"/>
              </w:rPr>
              <w:br/>
            </w:r>
            <w:r>
              <w:rPr>
                <w:rFonts w:ascii="Times New Roman" w:hAnsi="Times New Roman" w:cs="Times New Roman" w:eastAsiaTheme="minorHAnsi"/>
                <w:sz w:val="26"/>
                <w:szCs w:val="26"/>
                <w:lang w:eastAsia="en-US"/>
              </w:rPr>
              <w:t xml:space="preserve">или индивидуального предпринимателя, являющегося</w:t>
            </w:r>
            <w:r>
              <w:rPr>
                <w:rFonts w:ascii="Times New Roman" w:hAnsi="Times New Roman" w:cs="Times New Roman" w:eastAsiaTheme="minorHAnsi"/>
                <w:sz w:val="26"/>
                <w:szCs w:val="26"/>
                <w:lang w:eastAsia="en-US"/>
              </w:rPr>
              <w:t xml:space="preserve"> главой крестьянского (фермерского) хозяйства на сельской территории или на территории сельской агломерации </w:t>
            </w:r>
            <w:r>
              <w:rPr>
                <w:rFonts w:ascii="Times New Roman" w:hAnsi="Times New Roman" w:cs="Times New Roman" w:eastAsiaTheme="minorHAnsi"/>
                <w:sz w:val="26"/>
                <w:szCs w:val="26"/>
                <w:lang w:eastAsia="en-US"/>
              </w:rPr>
              <w:t xml:space="preserve">Белгородской области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или обязующиеся в срок, не превышающий 30 календарных дней с даты принятия решения Комиссии по отбору проектов о предоставлении гранта 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Агромотиватор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», осуществить государственную регистрацию крестьянского (фермерского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хозяйства или зарегистрироваться в качестве индивидуального предпринимателя, являющегося главой крестьянского (фермерского) хозяйства</w:t>
            </w:r>
            <w:r>
              <w:rPr>
                <w:rFonts w:ascii="Times New Roman" w:hAnsi="Times New Roman" w:cs="Times New Roman" w:eastAsiaTheme="minorHAnsi"/>
                <w:iCs/>
                <w:sz w:val="26"/>
                <w:szCs w:val="26"/>
                <w:highlight w:val="none"/>
                <w:lang w:eastAsia="en-US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jc w:val="center"/>
              <w:keepLines/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iCs w:val="0"/>
                <w:spacing w:val="-6"/>
                <w:sz w:val="26"/>
                <w:szCs w:val="26"/>
                <w:highlight w:val="none"/>
              </w:rPr>
              <w:t xml:space="preserve">В 2025 году планируется оказание государственной поддержки не менее </w:t>
            </w:r>
            <w:r>
              <w:rPr>
                <w:rFonts w:ascii="Times New Roman" w:hAnsi="Times New Roman" w:cs="Times New Roman"/>
                <w:i w:val="0"/>
                <w:iCs w:val="0"/>
                <w:spacing w:val="-6"/>
                <w:sz w:val="26"/>
                <w:szCs w:val="26"/>
                <w:highlight w:val="none"/>
              </w:rPr>
              <w:t xml:space="preserve">2 сельскохозяйственным товаропроизводителям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color w:val="ff0000"/>
          <w:sz w:val="26"/>
          <w:szCs w:val="26"/>
        </w:rPr>
      </w:pPr>
      <w:r>
        <w:rPr>
          <w:rFonts w:ascii="Times New Roman" w:hAnsi="Times New Roman" w:eastAsia="Calibri" w:cs="Times New Roman"/>
          <w:bCs/>
          <w:color w:val="ff0000"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4.5. Оценка изменений обязательных требований, обязанностей, ограничений </w:t>
      </w:r>
      <w:r>
        <w:rPr>
          <w:rFonts w:ascii="Times New Roman" w:hAnsi="Times New Roman" w:eastAsia="Calibri" w:cs="Times New Roman"/>
          <w:bCs/>
          <w:sz w:val="26"/>
          <w:szCs w:val="26"/>
        </w:rPr>
        <w:br/>
      </w:r>
      <w:r>
        <w:rPr>
          <w:rFonts w:ascii="Times New Roman" w:hAnsi="Times New Roman" w:eastAsia="Calibri" w:cs="Times New Roman"/>
          <w:bCs/>
          <w:sz w:val="26"/>
          <w:szCs w:val="26"/>
        </w:rPr>
        <w:t xml:space="preserve">и преимуществ, ответственности за нарушение нормативных правовых актов Белгородской области, расходов и доходов, а также ожидаемых издержек и выгод </w:t>
      </w:r>
      <w:r>
        <w:rPr>
          <w:rFonts w:ascii="Times New Roman" w:hAnsi="Times New Roman" w:eastAsia="Calibri" w:cs="Times New Roman"/>
          <w:bCs/>
          <w:sz w:val="26"/>
          <w:szCs w:val="26"/>
        </w:rPr>
        <w:br/>
      </w:r>
      <w:r>
        <w:rPr>
          <w:rFonts w:ascii="Times New Roman" w:hAnsi="Times New Roman" w:eastAsia="Calibri" w:cs="Times New Roman"/>
          <w:bCs/>
          <w:sz w:val="26"/>
          <w:szCs w:val="26"/>
        </w:rPr>
        <w:t xml:space="preserve">для субъектов предпринимательской и иной экономической деятельности, интересы которых затрагиваются вводимым правовым регулированием: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0"/>
          <w:szCs w:val="20"/>
          <w:highlight w:val="yellow"/>
        </w:rPr>
      </w:pPr>
      <w:r>
        <w:rPr>
          <w:rFonts w:ascii="Times New Roman" w:hAnsi="Times New Roman" w:eastAsia="Calibri" w:cs="Times New Roman"/>
          <w:sz w:val="20"/>
          <w:szCs w:val="20"/>
          <w:highlight w:val="yellow"/>
        </w:rPr>
      </w:r>
      <w:r/>
    </w:p>
    <w:tbl>
      <w:tblPr>
        <w:tblStyle w:val="645"/>
        <w:tblpPr w:horzAnchor="margin" w:tblpXSpec="left" w:vertAnchor="text" w:tblpY="69" w:leftFromText="180" w:topFromText="0" w:rightFromText="180" w:bottomFromText="0"/>
        <w:tblW w:w="96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top w:w="0" w:type="dxa"/>
          <w:right w:w="28" w:type="dxa"/>
          <w:bottom w:w="0" w:type="dxa"/>
        </w:tblCellMar>
        <w:tblLook w:val="04A0" w:firstRow="1" w:lastRow="0" w:firstColumn="1" w:lastColumn="0" w:noHBand="0" w:noVBand="1"/>
      </w:tblPr>
      <w:tblGrid>
        <w:gridCol w:w="3572"/>
        <w:gridCol w:w="3259"/>
        <w:gridCol w:w="2836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7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Группа участников отношений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Описание новых или изменения содержания существующих обязательных требований, обязанностей, ограничений, преимуществ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Оценка изменения расходов/доходов,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издержек/выгод,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тыс. руб.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72" w:type="dxa"/>
            <w:textDirection w:val="lrTb"/>
            <w:noWrap w:val="false"/>
          </w:tcPr>
          <w:p>
            <w:pPr>
              <w:ind w:left="57" w:right="57"/>
              <w:jc w:val="both"/>
              <w:keepLines/>
              <w:keepNext/>
              <w:spacing w:after="0" w:line="240" w:lineRule="auto"/>
              <w:rPr>
                <w:rFonts w:ascii="Times New Roman" w:hAnsi="Times New Roman" w:cs="Times New Roman"/>
                <w:highlight w:val="none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  <w:lang w:val="ru-RU"/>
              </w:rPr>
            </w:r>
            <w:r>
              <w:rPr>
                <w:rFonts w:ascii="Times New Roman" w:hAnsi="Times New Roman" w:cs="Times New Roman" w:eastAsiaTheme="minorHAnsi"/>
                <w:sz w:val="26"/>
                <w:szCs w:val="26"/>
                <w:lang w:eastAsia="en-US"/>
              </w:rPr>
              <w:t xml:space="preserve">Граждане Российской Федерации из числа ветеранов боевых действий, осуществлявших выполнение задач в ходе специальной военной операции</w:t>
            </w:r>
            <w:r>
              <w:rPr>
                <w:rFonts w:hint="default" w:ascii="Times New Roman" w:hAnsi="Times New Roman" w:eastAsia="Calibri" w:cs="Times New Roman"/>
                <w:sz w:val="26"/>
                <w:szCs w:val="26"/>
                <w:lang w:val="ru-RU"/>
              </w:rPr>
              <w:t xml:space="preserve">, </w:t>
            </w:r>
            <w:r>
              <w:rPr>
                <w:rFonts w:ascii="Times New Roman" w:hAnsi="Times New Roman" w:cs="Times New Roman" w:eastAsiaTheme="minorHAnsi"/>
                <w:sz w:val="26"/>
                <w:szCs w:val="26"/>
                <w:lang w:eastAsia="en-US"/>
              </w:rPr>
              <w:t xml:space="preserve">зарегистрированные в качестве крестьянского (фермерского) хозяйства </w:t>
            </w:r>
            <w:r>
              <w:rPr>
                <w:rFonts w:ascii="Times New Roman" w:hAnsi="Times New Roman" w:cs="Times New Roman" w:eastAsiaTheme="minorHAnsi"/>
                <w:sz w:val="26"/>
                <w:szCs w:val="26"/>
                <w:lang w:eastAsia="en-US"/>
              </w:rPr>
              <w:br/>
            </w:r>
            <w:r>
              <w:rPr>
                <w:rFonts w:ascii="Times New Roman" w:hAnsi="Times New Roman" w:cs="Times New Roman" w:eastAsiaTheme="minorHAnsi"/>
                <w:sz w:val="26"/>
                <w:szCs w:val="26"/>
                <w:lang w:eastAsia="en-US"/>
              </w:rPr>
              <w:t xml:space="preserve">или индивидуального предпринимателя, являющегося</w:t>
            </w:r>
            <w:r>
              <w:rPr>
                <w:rFonts w:ascii="Times New Roman" w:hAnsi="Times New Roman" w:cs="Times New Roman" w:eastAsiaTheme="minorHAnsi"/>
                <w:sz w:val="26"/>
                <w:szCs w:val="26"/>
                <w:lang w:eastAsia="en-US"/>
              </w:rPr>
              <w:t xml:space="preserve"> главой крестьянского (фермерского) хозяйства на сельской территории или на территории сельской агломерации </w:t>
            </w:r>
            <w:r>
              <w:rPr>
                <w:rFonts w:ascii="Times New Roman" w:hAnsi="Times New Roman" w:cs="Times New Roman" w:eastAsiaTheme="minorHAnsi"/>
                <w:sz w:val="26"/>
                <w:szCs w:val="26"/>
                <w:lang w:eastAsia="en-US"/>
              </w:rPr>
              <w:t xml:space="preserve">Белгородской области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или обязующиеся в срок, не превышающий 30 календарных дней с даты принятия решения Комиссии по отбору проектов о предоставлении гранта 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Агромотиватор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», осуществить государственную регистрацию крестьянского (фермерского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хозяйства или зарегистрироваться в качестве индивидуального предпринимателя, являющегося главой крестьянского (фермерского) хозяйства</w:t>
            </w:r>
            <w:r>
              <w:rPr>
                <w:rFonts w:ascii="Times New Roman" w:hAnsi="Times New Roman" w:cs="Times New Roman" w:eastAsiaTheme="minorHAnsi"/>
                <w:iCs/>
                <w:sz w:val="26"/>
                <w:szCs w:val="26"/>
                <w:highlight w:val="none"/>
                <w:lang w:eastAsia="en-US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  <w:lang w:val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Преимущества:</w:t>
            </w:r>
            <w:r/>
          </w:p>
          <w:p>
            <w:pPr>
              <w:ind w:hanging="28"/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финансирование затрат (части затрат) на реализацию проекта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по</w:t>
            </w:r>
            <w:r>
              <w:rPr>
                <w:rFonts w:hint="default"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производств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у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сельскохозяйственной продукции. 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 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  <w:u w:val="single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Обязанности: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предоставление грантополучателем в электронном виде документов, предусматривающих ведение рентабельного производства сельскохозяйственной продукции, а также содержащих план расходов, предлагаемых к софинансированию за счет средств гранта.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hint="default" w:ascii="Times New Roman" w:hAnsi="Times New Roman" w:cs="Times New Roman"/>
                <w:spacing w:val="-8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На создание и развитие производства по разведению крупного рогатого скота мясного или молочного направлений продуктивности </w:t>
            </w:r>
            <w:r>
              <w:rPr>
                <w:rFonts w:hint="default"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-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не более </w:t>
            </w:r>
            <w:r>
              <w:rPr>
                <w:rFonts w:hint="default"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7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млн рублей.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П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о иным направлениям проекта – в размере, не превышающем 5 млн рублей 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tabs>
                <w:tab w:val="left" w:pos="8066" w:leader="none"/>
              </w:tabs>
              <w:rPr>
                <w:rFonts w:hint="default"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b w:val="0"/>
                <w:bCs w:val="0"/>
                <w:color w:val="000000"/>
                <w:sz w:val="24"/>
                <w:szCs w:val="24"/>
                <w:lang w:eastAsia="ru-RU"/>
              </w:rPr>
              <w:t xml:space="preserve">Общая стоимость требования по предоставлению пакета документов претендентом на получение гранта </w:t>
            </w: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«Агромотиватор»</w:t>
            </w:r>
            <w:r>
              <w:rPr>
                <w:rFonts w:hint="default"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tabs>
                <w:tab w:val="left" w:pos="8066" w:leader="none"/>
              </w:tabs>
              <w:rPr>
                <w:rFonts w:hint="default"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6,3 тыс. руб.</w:t>
            </w:r>
            <w:r>
              <w:rPr>
                <w:b w:val="0"/>
                <w:bCs w:val="0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color w:val="ff0000"/>
          <w:sz w:val="20"/>
          <w:szCs w:val="20"/>
          <w:highlight w:val="yellow"/>
        </w:rPr>
      </w:pPr>
      <w:r>
        <w:rPr>
          <w:rFonts w:ascii="Times New Roman" w:hAnsi="Times New Roman" w:eastAsia="Calibri" w:cs="Times New Roman"/>
          <w:bCs/>
          <w:color w:val="ff0000"/>
          <w:sz w:val="20"/>
          <w:szCs w:val="20"/>
          <w:highlight w:val="yellow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4.6. Новые функции, полномочия, обязанности и права, а также ожидаемые издержки и выгоды органов государственной власти и органов местного самоуправления области или сведения об их изменении:*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ascii="Times New Roman" w:hAnsi="Times New Roman" w:eastAsia="Calibri" w:cs="Times New Roman"/>
          <w:sz w:val="20"/>
          <w:szCs w:val="20"/>
        </w:rPr>
      </w:r>
      <w:r/>
    </w:p>
    <w:tbl>
      <w:tblPr>
        <w:tblStyle w:val="645"/>
        <w:tblpPr w:horzAnchor="margin" w:tblpXSpec="left" w:vertAnchor="text" w:tblpY="75" w:leftFromText="180" w:topFromText="0" w:rightFromText="180" w:bottomFromText="0"/>
        <w:tblW w:w="96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top w:w="0" w:type="dxa"/>
          <w:right w:w="28" w:type="dxa"/>
          <w:bottom w:w="0" w:type="dxa"/>
        </w:tblCellMar>
        <w:tblLook w:val="04A0" w:firstRow="1" w:lastRow="0" w:firstColumn="1" w:lastColumn="0" w:noHBand="0" w:noVBand="1"/>
      </w:tblPr>
      <w:tblGrid>
        <w:gridCol w:w="3005"/>
        <w:gridCol w:w="3827"/>
        <w:gridCol w:w="2835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Наименование органа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7" w:type="dxa"/>
            <w:textDirection w:val="lrTb"/>
            <w:noWrap w:val="false"/>
          </w:tcPr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Описание новых или изменения существующих функций, полномочий, обязанностей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br/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или прав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Оценка изменения трудозатрат и (или) потребностей в иных ресурсах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5" w:type="dxa"/>
            <w:textDirection w:val="lrTb"/>
            <w:noWrap w:val="false"/>
          </w:tcPr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iCs/>
                <w:sz w:val="24"/>
                <w:szCs w:val="24"/>
              </w:rPr>
              <w:t xml:space="preserve">Министерство сельского хозяйства и продовольствия Белгородской области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Функции министерства будут осуществляться в рамках ранее установленных полномочий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Дополнительные трудозатраты не потребуются</w:t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color w:val="ff0000"/>
          <w:sz w:val="20"/>
          <w:szCs w:val="20"/>
          <w:highlight w:val="yellow"/>
        </w:rPr>
      </w:pPr>
      <w:r>
        <w:rPr>
          <w:rFonts w:ascii="Times New Roman" w:hAnsi="Times New Roman" w:eastAsia="Calibri" w:cs="Times New Roman"/>
          <w:color w:val="ff0000"/>
          <w:sz w:val="20"/>
          <w:szCs w:val="20"/>
          <w:highlight w:val="yellow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4.7. Оценка расходов (возможных поступлений) консолидированного бюджета Белгородской области:*</w:t>
      </w:r>
      <w:r/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ascii="Times New Roman" w:hAnsi="Times New Roman" w:eastAsia="Calibri" w:cs="Times New Roman"/>
          <w:sz w:val="20"/>
          <w:szCs w:val="20"/>
        </w:rPr>
      </w:r>
      <w:r/>
    </w:p>
    <w:tbl>
      <w:tblPr>
        <w:tblStyle w:val="645"/>
        <w:tblpPr w:horzAnchor="margin" w:tblpXSpec="left" w:vertAnchor="text" w:tblpY="58" w:leftFromText="180" w:topFromText="0" w:rightFromText="180" w:bottomFromText="0"/>
        <w:tblW w:w="96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top w:w="0" w:type="dxa"/>
          <w:right w:w="28" w:type="dxa"/>
          <w:bottom w:w="0" w:type="dxa"/>
        </w:tblCellMar>
        <w:tblLook w:val="04A0" w:firstRow="1" w:lastRow="0" w:firstColumn="1" w:lastColumn="0" w:noHBand="0" w:noVBand="1"/>
      </w:tblPr>
      <w:tblGrid>
        <w:gridCol w:w="3430"/>
        <w:gridCol w:w="3402"/>
        <w:gridCol w:w="2835"/>
      </w:tblGrid>
      <w:tr>
        <w:trPr/>
        <w:tc>
          <w:tcPr>
            <w:tcW w:w="343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Описание новых или изменения существующих функций, полномочий, обязанностей или прав</w:t>
            </w:r>
            <w:r/>
          </w:p>
        </w:tc>
        <w:tc>
          <w:tcPr>
            <w:tcW w:w="340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Описание видов расходов (возможных поступлений) консолидированного бюджета Белгородской области </w:t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Количественная оценка расходов и возможных поступлений,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тыс. руб.</w:t>
            </w:r>
            <w:r/>
          </w:p>
        </w:tc>
      </w:tr>
      <w:tr>
        <w:trPr/>
        <w:tc>
          <w:tcPr>
            <w:tcW w:w="343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iCs/>
                <w:sz w:val="24"/>
                <w:szCs w:val="24"/>
              </w:rPr>
              <w:t xml:space="preserve">Функции министерства будут осуществляться в рамках ранее установленных полномочий</w:t>
            </w:r>
            <w:r/>
          </w:p>
        </w:tc>
        <w:tc>
          <w:tcPr>
            <w:tcW w:w="340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hint="default" w:ascii="Times New Roman" w:hAnsi="Times New Roman" w:eastAsia="Calibri" w:cs="Times New Roman"/>
                <w:b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грантов 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«Агромотиватор»</w:t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Финансирование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 2025 году будет осуществляться из областного бюджета в виде гранта на общую сумму                   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r>
            <w:r>
              <w:rPr>
                <w:rFonts w:hint="default" w:ascii="Times New Roman" w:hAnsi="Times New Roman"/>
                <w:i w:val="0"/>
                <w:iCs w:val="0"/>
                <w:color w:val="000000"/>
                <w:sz w:val="26"/>
                <w:szCs w:val="26"/>
                <w:highlight w:val="none"/>
                <w:shd w:val="clear" w:color="auto" w:fill="ffffff"/>
                <w:lang w:val="ru-RU"/>
              </w:rPr>
              <w:t xml:space="preserve">6,84</w:t>
            </w:r>
            <w:r>
              <w:rPr>
                <w:rFonts w:ascii="Times New Roman" w:hAnsi="Times New Roman" w:cs="Times New Roman"/>
                <w:i w:val="0"/>
                <w:iCs w:val="0"/>
                <w:spacing w:val="-6"/>
                <w:sz w:val="26"/>
                <w:szCs w:val="26"/>
                <w:highlight w:val="none"/>
              </w:rPr>
              <w:t xml:space="preserve"> млн рублей</w:t>
            </w:r>
            <w:r>
              <w:rPr>
                <w:rFonts w:hint="default"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/>
          <w:bCs/>
          <w:color w:val="ff0000"/>
          <w:sz w:val="20"/>
          <w:szCs w:val="20"/>
        </w:rPr>
      </w:pPr>
      <w:r>
        <w:rPr>
          <w:rFonts w:ascii="Times New Roman" w:hAnsi="Times New Roman" w:eastAsia="Calibri" w:cs="Times New Roman"/>
          <w:b/>
          <w:bCs/>
          <w:color w:val="ff0000"/>
          <w:sz w:val="20"/>
          <w:szCs w:val="20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4.8. Информация о наличии или отсутствии в проекте нормативного правового акта обязательных требований: отсутствуют.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5. Риски решения проблемы предложенным способом правового регулирования и риски негативных последствий, в том числе для конкуренции, а также описание методов контроля эффективности избранного способа достижения целей регулирования:</w:t>
      </w:r>
      <w:r/>
    </w:p>
    <w:tbl>
      <w:tblPr>
        <w:tblStyle w:val="645"/>
        <w:tblpPr w:horzAnchor="page" w:tblpX="1701" w:vertAnchor="page" w:tblpY="7325" w:leftFromText="180" w:topFromText="0" w:rightFromText="180" w:bottomFromText="0"/>
        <w:tblW w:w="96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top w:w="0" w:type="dxa"/>
          <w:right w:w="28" w:type="dxa"/>
          <w:bottom w:w="0" w:type="dxa"/>
        </w:tblCellMar>
        <w:tblLook w:val="04A0" w:firstRow="1" w:lastRow="0" w:firstColumn="1" w:lastColumn="0" w:noHBand="0" w:noVBand="1"/>
      </w:tblPr>
      <w:tblGrid>
        <w:gridCol w:w="4111"/>
        <w:gridCol w:w="2268"/>
        <w:gridCol w:w="3261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1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Риски решения проблемы предложенным способом 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и риски негативных последствий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Оценка вероятности наступления рисков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Методы контроля эффективности избранного способа достижения целей регулирования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11" w:type="dxa"/>
            <w:textDirection w:val="lrTb"/>
            <w:noWrap w:val="false"/>
          </w:tcPr>
          <w:p>
            <w:pPr>
              <w:ind w:right="57"/>
              <w:jc w:val="both"/>
              <w:keepNext/>
              <w:spacing w:after="0" w:line="240" w:lineRule="auto"/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Отсутствие заявок на участие в конкурсном отборе на получение гранта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«Агромотиватор»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низкая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населения о мерах поддержки.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обучающих семинаров. 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1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iCs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iCs/>
                <w:sz w:val="24"/>
                <w:szCs w:val="24"/>
              </w:rPr>
              <w:t xml:space="preserve">Предоставление неполного пакета документов участника отбора 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низкая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порядке предоставления гранта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«Агромотиватор»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 полный перечень заявочной документации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Консультирование заявителей по мере необходимости.</w:t>
            </w:r>
            <w:r>
              <w:rPr>
                <w:sz w:val="24"/>
                <w:szCs w:val="24"/>
              </w:rPr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color w:val="ff0000"/>
          <w:sz w:val="24"/>
          <w:szCs w:val="24"/>
        </w:rPr>
      </w:pPr>
      <w:r>
        <w:rPr>
          <w:rFonts w:ascii="Times New Roman" w:hAnsi="Times New Roman" w:eastAsia="Calibri" w:cs="Times New Roman"/>
          <w:color w:val="ff0000"/>
          <w:sz w:val="24"/>
          <w:szCs w:val="24"/>
        </w:rPr>
      </w:r>
      <w:r>
        <w:rPr>
          <w:sz w:val="24"/>
          <w:szCs w:val="24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6. Необходимые для достижения заявленных целей регулирования организационно-технические, методологические, информационные и иные мероприятия:*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/>
          <w:bCs/>
          <w:color w:val="ff0000"/>
          <w:sz w:val="26"/>
          <w:szCs w:val="26"/>
        </w:rPr>
      </w:pPr>
      <w:r>
        <w:rPr>
          <w:rFonts w:ascii="Times New Roman" w:hAnsi="Times New Roman" w:eastAsia="Calibri" w:cs="Times New Roman"/>
          <w:b/>
          <w:bCs/>
          <w:color w:val="ff0000"/>
          <w:sz w:val="26"/>
          <w:szCs w:val="26"/>
        </w:rPr>
      </w:r>
      <w:r/>
    </w:p>
    <w:tbl>
      <w:tblPr>
        <w:tblStyle w:val="645"/>
        <w:tblW w:w="96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top w:w="0" w:type="dxa"/>
          <w:right w:w="28" w:type="dxa"/>
          <w:bottom w:w="0" w:type="dxa"/>
        </w:tblCellMar>
        <w:tblLook w:val="04A0" w:firstRow="1" w:lastRow="0" w:firstColumn="1" w:lastColumn="0" w:noHBand="0" w:noVBand="1"/>
      </w:tblPr>
      <w:tblGrid>
        <w:gridCol w:w="3005"/>
        <w:gridCol w:w="1559"/>
        <w:gridCol w:w="1842"/>
        <w:gridCol w:w="1560"/>
        <w:gridCol w:w="1701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Мероприятия, необходимые для достижения целей регулирования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Сроки реализации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Описание ожидаемого результата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Объем финансиро- вания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Источники финансиро- вания</w:t>
            </w:r>
            <w:r/>
          </w:p>
        </w:tc>
      </w:tr>
      <w:tr>
        <w:trPr>
          <w:trHeight w:val="221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5" w:type="dxa"/>
            <w:textDirection w:val="lrTb"/>
            <w:noWrap w:val="false"/>
          </w:tcPr>
          <w:p>
            <w:pPr>
              <w:pStyle w:val="833"/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информации о принятии постановления Правительства Белгородской области на  официальном сайте департамента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www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belapk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 и на едином портале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both"/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август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</w:t>
            </w:r>
            <w:r/>
          </w:p>
        </w:tc>
      </w:tr>
      <w:tr>
        <w:trPr>
          <w:trHeight w:val="908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5" w:type="dxa"/>
            <w:textDirection w:val="lrTb"/>
            <w:noWrap w:val="false"/>
          </w:tcPr>
          <w:p>
            <w:pPr>
              <w:pStyle w:val="833"/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Мониторинг предоставленных грантов на возобновление деятельности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both"/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сентябрь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-декабрь 2025 года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грантов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</w:t>
            </w:r>
            <w:r/>
          </w:p>
        </w:tc>
      </w:tr>
    </w:tbl>
    <w:p>
      <w:pPr>
        <w:ind w:firstLine="709"/>
        <w:spacing w:after="0" w:line="240" w:lineRule="auto"/>
        <w:rPr>
          <w:rFonts w:ascii="Times New Roman" w:hAnsi="Times New Roman" w:eastAsia="Calibri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eastAsia="Calibri" w:cs="Times New Roman"/>
          <w:b/>
          <w:bCs/>
          <w:color w:val="ff0000"/>
          <w:sz w:val="28"/>
          <w:szCs w:val="28"/>
        </w:rPr>
      </w:r>
      <w:r/>
    </w:p>
    <w:p>
      <w:pPr>
        <w:ind w:firstLine="709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7. Ожидаемые измеримые результаты правового регулирования:*</w:t>
      </w:r>
      <w:r/>
    </w:p>
    <w:p>
      <w:pPr>
        <w:ind w:firstLine="709"/>
        <w:spacing w:after="0" w:line="240" w:lineRule="auto"/>
        <w:rPr>
          <w:rFonts w:ascii="Times New Roman" w:hAnsi="Times New Roman" w:eastAsia="Calibri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eastAsia="Calibri" w:cs="Times New Roman"/>
          <w:b/>
          <w:bCs/>
          <w:color w:val="ff0000"/>
          <w:sz w:val="28"/>
          <w:szCs w:val="28"/>
        </w:rPr>
      </w:r>
      <w:r/>
    </w:p>
    <w:tbl>
      <w:tblPr>
        <w:tblStyle w:val="64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694"/>
        <w:gridCol w:w="2343"/>
        <w:gridCol w:w="2416"/>
        <w:gridCol w:w="2402"/>
      </w:tblGrid>
      <w:tr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Ключевые показатели достижения целей, заявленных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br/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в предложенном регулировании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Количественное значение ключевых показателей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Методы контроля эффективности достижения целей правового регулирования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Срок оценки достижения ключевых показателей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br/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(не более 5 лет)</w:t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К декабрю 2025 года оказание грантовой поддержки. </w:t>
            </w:r>
            <w:r/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Финансирование на оказание государственной поддержки в виде гранта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«Агромотиватор»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2.Увеличением объема реализуемой сельскохозяйственной продукции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4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менее 2 грантополучателей на общую сумму 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6,84 млн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менее 3 лет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6" w:type="dxa"/>
            <w:textDirection w:val="lrTb"/>
            <w:noWrap w:val="false"/>
          </w:tcPr>
          <w:p>
            <w:pPr>
              <w:spacing w:after="0" w:line="240" w:lineRule="auto"/>
              <w:rPr>
                <w:rFonts w:hint="default" w:ascii="Times New Roman" w:hAnsi="Times New Roman" w:eastAsia="Calibri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Оценка поступивших заявок от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val="ru-RU"/>
              </w:rPr>
              <w:t xml:space="preserve">ветеранов</w:t>
            </w:r>
            <w:r>
              <w:rPr>
                <w:rFonts w:hint="default" w:ascii="Times New Roman" w:hAnsi="Times New Roman" w:eastAsia="Calibri" w:cs="Times New Roman"/>
                <w:bCs/>
                <w:sz w:val="24"/>
                <w:szCs w:val="24"/>
                <w:lang w:val="ru-RU"/>
              </w:rPr>
              <w:t xml:space="preserve"> и участников СВО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Полугодовая и годовая отчётности в Минсельхоз РФ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Декабрь 2025 года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Ежегодно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(в течение 3 лет с даты предоставления гранта)</w:t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eastAsia="Calibri" w:cs="Times New Roman"/>
          <w:b/>
          <w:bCs/>
          <w:color w:val="ff0000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8. Предполагаемая дата вступления в силу проекта нормативного правового акта: </w:t>
      </w:r>
      <w:r>
        <w:rPr>
          <w:rFonts w:ascii="Times New Roman" w:hAnsi="Times New Roman" w:eastAsia="Calibri" w:cs="Times New Roman"/>
          <w:bCs/>
          <w:sz w:val="26"/>
          <w:szCs w:val="26"/>
          <w:lang w:val="ru-RU"/>
        </w:rPr>
        <w:t xml:space="preserve">август</w:t>
      </w:r>
      <w:r>
        <w:rPr>
          <w:rFonts w:ascii="Times New Roman" w:hAnsi="Times New Roman" w:eastAsia="Calibri" w:cs="Times New Roman"/>
          <w:sz w:val="26"/>
          <w:szCs w:val="26"/>
        </w:rPr>
        <w:t xml:space="preserve"> 202</w:t>
      </w:r>
      <w:r>
        <w:rPr>
          <w:rFonts w:hint="default" w:ascii="Times New Roman" w:hAnsi="Times New Roman" w:eastAsia="Calibri" w:cs="Times New Roman"/>
          <w:sz w:val="26"/>
          <w:szCs w:val="26"/>
          <w:lang w:val="ru-RU"/>
        </w:rPr>
        <w:t xml:space="preserve">5</w:t>
      </w:r>
      <w:r>
        <w:rPr>
          <w:rFonts w:ascii="Times New Roman" w:hAnsi="Times New Roman" w:eastAsia="Calibri" w:cs="Times New Roman"/>
          <w:sz w:val="26"/>
          <w:szCs w:val="26"/>
        </w:rPr>
        <w:t xml:space="preserve"> г.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color w:val="ff0000"/>
          <w:sz w:val="26"/>
          <w:szCs w:val="26"/>
        </w:rPr>
      </w:pPr>
      <w:r>
        <w:rPr>
          <w:rFonts w:ascii="Times New Roman" w:hAnsi="Times New Roman" w:eastAsia="Calibri" w:cs="Times New Roman"/>
          <w:color w:val="ff0000"/>
          <w:sz w:val="26"/>
          <w:szCs w:val="26"/>
        </w:rPr>
      </w:r>
      <w:r/>
    </w:p>
    <w:p>
      <w:pPr>
        <w:pStyle w:val="833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</w:r>
      <w:r/>
    </w:p>
    <w:p>
      <w:pPr>
        <w:pStyle w:val="833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color w:val="ff0000"/>
          <w:sz w:val="26"/>
          <w:szCs w:val="26"/>
        </w:rPr>
      </w:pPr>
      <w:r>
        <w:rPr>
          <w:rFonts w:ascii="Times New Roman" w:hAnsi="Times New Roman" w:eastAsia="Calibri" w:cs="Times New Roman"/>
          <w:color w:val="ff0000"/>
          <w:sz w:val="26"/>
          <w:szCs w:val="26"/>
        </w:rPr>
      </w:r>
      <w:r/>
    </w:p>
    <w:sectPr>
      <w:footnotePr/>
      <w:endnotePr/>
      <w:type w:val="nextPage"/>
      <w:pgSz w:w="11906" w:h="16838" w:orient="portrait"/>
      <w:pgMar w:top="1135" w:right="566" w:bottom="709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Tahoma">
    <w:panose1 w:val="020B0604030504040204"/>
  </w:font>
  <w:font w:name="Courier New">
    <w:panose1 w:val="02070309020205020404"/>
  </w:font>
  <w:font w:name="Calibri">
    <w:panose1 w:val="020F0502020204030204"/>
  </w:font>
  <w:font w:name="Arial">
    <w:panose1 w:val="020B0604020202020204"/>
  </w:font>
  <w:font w:name="SimSun">
    <w:panose1 w:val="02000506000000020000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before="0" w:after="0" w:line="276" w:lineRule="auto"/>
      </w:pPr>
      <w:r>
        <w:separator/>
      </w:r>
      <w:r/>
    </w:p>
  </w:footnote>
  <w:footnote w:type="continuationSeparator" w:id="0">
    <w:p>
      <w:pPr>
        <w:spacing w:before="0" w:after="0" w:line="276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nforcement="0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SimSun" w:cs="Times New Roma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4" w:default="1">
    <w:name w:val="Normal"/>
    <w:uiPriority w:val="0"/>
    <w:qFormat/>
    <w:pPr>
      <w:spacing w:before="0" w:beforeAutospacing="0" w:after="200" w:afterAutospacing="0" w:line="276" w:lineRule="auto"/>
    </w:pPr>
    <w:rPr>
      <w:rFonts w:hint="default"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635">
    <w:name w:val="Heading 1"/>
    <w:basedOn w:val="634"/>
    <w:next w:val="634"/>
    <w:link w:val="685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36">
    <w:name w:val="Heading 2"/>
    <w:basedOn w:val="634"/>
    <w:next w:val="634"/>
    <w:link w:val="686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37">
    <w:name w:val="Heading 3"/>
    <w:basedOn w:val="634"/>
    <w:next w:val="634"/>
    <w:link w:val="687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38">
    <w:name w:val="Heading 4"/>
    <w:basedOn w:val="634"/>
    <w:next w:val="634"/>
    <w:link w:val="688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39">
    <w:name w:val="Heading 5"/>
    <w:basedOn w:val="634"/>
    <w:next w:val="634"/>
    <w:link w:val="689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40">
    <w:name w:val="Heading 6"/>
    <w:basedOn w:val="634"/>
    <w:next w:val="634"/>
    <w:link w:val="690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41">
    <w:name w:val="Heading 7"/>
    <w:basedOn w:val="634"/>
    <w:next w:val="634"/>
    <w:link w:val="691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42">
    <w:name w:val="Heading 8"/>
    <w:basedOn w:val="634"/>
    <w:next w:val="634"/>
    <w:link w:val="692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43">
    <w:name w:val="Heading 9"/>
    <w:basedOn w:val="634"/>
    <w:next w:val="634"/>
    <w:link w:val="693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44" w:default="1">
    <w:name w:val="Default Paragraph Font"/>
    <w:uiPriority w:val="1"/>
    <w:semiHidden/>
    <w:unhideWhenUsed/>
    <w:qFormat/>
  </w:style>
  <w:style w:type="table" w:styleId="645" w:default="1">
    <w:name w:val="Normal Table"/>
    <w:uiPriority w:val="99"/>
    <w:semiHidden/>
    <w:unhideWhenUsed/>
    <w:qFormat/>
    <w:tblPr>
      <w:tblCellMar>
        <w:left w:w="108" w:type="dxa"/>
        <w:top w:w="0" w:type="dxa"/>
        <w:right w:w="108" w:type="dxa"/>
        <w:bottom w:w="0" w:type="dxa"/>
      </w:tblCellMar>
    </w:tblPr>
  </w:style>
  <w:style w:type="character" w:styleId="646">
    <w:name w:val="footnote reference"/>
    <w:basedOn w:val="644"/>
    <w:uiPriority w:val="99"/>
    <w:unhideWhenUsed/>
    <w:qFormat/>
    <w:rPr>
      <w:vertAlign w:val="superscript"/>
    </w:rPr>
  </w:style>
  <w:style w:type="character" w:styleId="647">
    <w:name w:val="endnote reference"/>
    <w:basedOn w:val="644"/>
    <w:uiPriority w:val="99"/>
    <w:semiHidden/>
    <w:unhideWhenUsed/>
    <w:qFormat/>
    <w:rPr>
      <w:vertAlign w:val="superscript"/>
    </w:rPr>
  </w:style>
  <w:style w:type="character" w:styleId="648">
    <w:name w:val="Hyperlink"/>
    <w:basedOn w:val="644"/>
    <w:uiPriority w:val="99"/>
    <w:unhideWhenUsed/>
    <w:qFormat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649">
    <w:name w:val="endnote text"/>
    <w:basedOn w:val="634"/>
    <w:link w:val="831"/>
    <w:uiPriority w:val="99"/>
    <w:semiHidden/>
    <w:unhideWhenUsed/>
    <w:qFormat/>
    <w:pPr>
      <w:spacing w:after="0" w:line="240" w:lineRule="auto"/>
    </w:pPr>
    <w:rPr>
      <w:sz w:val="20"/>
    </w:rPr>
  </w:style>
  <w:style w:type="paragraph" w:styleId="650">
    <w:name w:val="Caption"/>
    <w:basedOn w:val="634"/>
    <w:next w:val="634"/>
    <w:uiPriority w:val="35"/>
    <w:semiHidden/>
    <w:unhideWhenUsed/>
    <w:qFormat/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651">
    <w:name w:val="footnote text"/>
    <w:basedOn w:val="634"/>
    <w:link w:val="830"/>
    <w:uiPriority w:val="99"/>
    <w:semiHidden/>
    <w:unhideWhenUsed/>
    <w:qFormat/>
    <w:pPr>
      <w:spacing w:after="40" w:line="240" w:lineRule="auto"/>
    </w:pPr>
    <w:rPr>
      <w:sz w:val="18"/>
    </w:rPr>
  </w:style>
  <w:style w:type="paragraph" w:styleId="652">
    <w:name w:val="toc 8"/>
    <w:basedOn w:val="634"/>
    <w:next w:val="634"/>
    <w:uiPriority w:val="39"/>
    <w:unhideWhenUsed/>
    <w:qFormat/>
    <w:pPr>
      <w:ind w:left="1984"/>
      <w:spacing w:after="57"/>
    </w:pPr>
  </w:style>
  <w:style w:type="paragraph" w:styleId="653">
    <w:name w:val="Header"/>
    <w:basedOn w:val="634"/>
    <w:link w:val="702"/>
    <w:uiPriority w:val="99"/>
    <w:unhideWhenUsed/>
    <w:qFormat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654">
    <w:name w:val="toc 9"/>
    <w:basedOn w:val="634"/>
    <w:next w:val="634"/>
    <w:uiPriority w:val="39"/>
    <w:unhideWhenUsed/>
    <w:qFormat/>
    <w:pPr>
      <w:ind w:left="2268"/>
      <w:spacing w:after="57"/>
    </w:pPr>
  </w:style>
  <w:style w:type="paragraph" w:styleId="655">
    <w:name w:val="toc 7"/>
    <w:basedOn w:val="634"/>
    <w:next w:val="634"/>
    <w:uiPriority w:val="39"/>
    <w:unhideWhenUsed/>
    <w:qFormat/>
    <w:pPr>
      <w:ind w:left="1701"/>
      <w:spacing w:after="57"/>
    </w:pPr>
  </w:style>
  <w:style w:type="paragraph" w:styleId="656">
    <w:name w:val="toc 1"/>
    <w:basedOn w:val="634"/>
    <w:next w:val="634"/>
    <w:uiPriority w:val="39"/>
    <w:unhideWhenUsed/>
    <w:qFormat/>
    <w:pPr>
      <w:spacing w:after="57"/>
    </w:pPr>
  </w:style>
  <w:style w:type="paragraph" w:styleId="657">
    <w:name w:val="toc 6"/>
    <w:basedOn w:val="634"/>
    <w:next w:val="634"/>
    <w:uiPriority w:val="39"/>
    <w:unhideWhenUsed/>
    <w:qFormat/>
    <w:pPr>
      <w:ind w:left="1417"/>
      <w:spacing w:after="57"/>
    </w:pPr>
  </w:style>
  <w:style w:type="paragraph" w:styleId="658">
    <w:name w:val="table of figures"/>
    <w:basedOn w:val="634"/>
    <w:next w:val="634"/>
    <w:uiPriority w:val="99"/>
    <w:unhideWhenUsed/>
    <w:qFormat/>
    <w:pPr>
      <w:spacing w:after="0"/>
    </w:pPr>
  </w:style>
  <w:style w:type="paragraph" w:styleId="659">
    <w:name w:val="toc 3"/>
    <w:basedOn w:val="634"/>
    <w:next w:val="634"/>
    <w:uiPriority w:val="39"/>
    <w:unhideWhenUsed/>
    <w:qFormat/>
    <w:pPr>
      <w:ind w:left="567"/>
      <w:spacing w:after="57"/>
    </w:pPr>
  </w:style>
  <w:style w:type="paragraph" w:styleId="660">
    <w:name w:val="toc 2"/>
    <w:basedOn w:val="634"/>
    <w:next w:val="634"/>
    <w:uiPriority w:val="39"/>
    <w:unhideWhenUsed/>
    <w:qFormat/>
    <w:pPr>
      <w:ind w:left="283"/>
      <w:spacing w:after="57"/>
    </w:pPr>
  </w:style>
  <w:style w:type="paragraph" w:styleId="661">
    <w:name w:val="toc 4"/>
    <w:basedOn w:val="634"/>
    <w:next w:val="634"/>
    <w:uiPriority w:val="39"/>
    <w:unhideWhenUsed/>
    <w:qFormat/>
    <w:pPr>
      <w:ind w:left="850"/>
      <w:spacing w:after="57"/>
    </w:pPr>
  </w:style>
  <w:style w:type="paragraph" w:styleId="662">
    <w:name w:val="toc 5"/>
    <w:basedOn w:val="634"/>
    <w:next w:val="634"/>
    <w:uiPriority w:val="39"/>
    <w:unhideWhenUsed/>
    <w:qFormat/>
    <w:pPr>
      <w:ind w:left="1134"/>
      <w:spacing w:after="57"/>
    </w:pPr>
  </w:style>
  <w:style w:type="paragraph" w:styleId="663">
    <w:name w:val="Title"/>
    <w:basedOn w:val="634"/>
    <w:next w:val="634"/>
    <w:link w:val="696"/>
    <w:uiPriority w:val="10"/>
    <w:qFormat/>
    <w:pPr>
      <w:contextualSpacing/>
      <w:spacing w:before="300"/>
    </w:pPr>
    <w:rPr>
      <w:sz w:val="48"/>
      <w:szCs w:val="48"/>
    </w:rPr>
  </w:style>
  <w:style w:type="paragraph" w:styleId="664">
    <w:name w:val="Footer"/>
    <w:basedOn w:val="634"/>
    <w:link w:val="704"/>
    <w:uiPriority w:val="99"/>
    <w:unhideWhenUsed/>
    <w:qFormat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665">
    <w:name w:val="Normal (Web)"/>
    <w:basedOn w:val="634"/>
    <w:uiPriority w:val="99"/>
    <w:semiHidden/>
    <w:unhideWhenUsed/>
    <w:qFormat/>
    <w:rPr>
      <w:rFonts w:ascii="Times New Roman" w:hAnsi="Times New Roman" w:cs="Times New Roman"/>
      <w:sz w:val="24"/>
      <w:szCs w:val="24"/>
    </w:rPr>
  </w:style>
  <w:style w:type="paragraph" w:styleId="666">
    <w:name w:val="Subtitle"/>
    <w:basedOn w:val="634"/>
    <w:next w:val="634"/>
    <w:link w:val="697"/>
    <w:uiPriority w:val="11"/>
    <w:qFormat/>
    <w:pPr>
      <w:spacing w:before="200"/>
    </w:pPr>
    <w:rPr>
      <w:sz w:val="24"/>
      <w:szCs w:val="24"/>
    </w:rPr>
  </w:style>
  <w:style w:type="table" w:styleId="667">
    <w:name w:val="Table Grid"/>
    <w:basedOn w:val="645"/>
    <w:uiPriority w:val="59"/>
    <w:qFormat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668" w:customStyle="1">
    <w:name w:val="Heading 1 Char"/>
    <w:basedOn w:val="644"/>
    <w:uiPriority w:val="9"/>
    <w:qFormat/>
    <w:rPr>
      <w:rFonts w:ascii="Arial" w:hAnsi="Arial" w:eastAsia="Arial" w:cs="Arial"/>
      <w:sz w:val="40"/>
      <w:szCs w:val="40"/>
    </w:rPr>
  </w:style>
  <w:style w:type="character" w:styleId="669" w:customStyle="1">
    <w:name w:val="Heading 2 Char"/>
    <w:basedOn w:val="644"/>
    <w:uiPriority w:val="9"/>
    <w:qFormat/>
    <w:rPr>
      <w:rFonts w:ascii="Arial" w:hAnsi="Arial" w:eastAsia="Arial" w:cs="Arial"/>
      <w:sz w:val="34"/>
    </w:rPr>
  </w:style>
  <w:style w:type="character" w:styleId="670" w:customStyle="1">
    <w:name w:val="Heading 3 Char"/>
    <w:basedOn w:val="644"/>
    <w:uiPriority w:val="9"/>
    <w:qFormat/>
    <w:rPr>
      <w:rFonts w:ascii="Arial" w:hAnsi="Arial" w:eastAsia="Arial" w:cs="Arial"/>
      <w:sz w:val="30"/>
      <w:szCs w:val="30"/>
    </w:rPr>
  </w:style>
  <w:style w:type="character" w:styleId="671" w:customStyle="1">
    <w:name w:val="Heading 4 Char"/>
    <w:basedOn w:val="644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72" w:customStyle="1">
    <w:name w:val="Heading 5 Char"/>
    <w:basedOn w:val="644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73" w:customStyle="1">
    <w:name w:val="Heading 6 Char"/>
    <w:basedOn w:val="644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74" w:customStyle="1">
    <w:name w:val="Heading 7 Char"/>
    <w:basedOn w:val="64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75" w:customStyle="1">
    <w:name w:val="Heading 8 Char"/>
    <w:basedOn w:val="644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76" w:customStyle="1">
    <w:name w:val="Heading 9 Char"/>
    <w:basedOn w:val="644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77" w:customStyle="1">
    <w:name w:val="Title Char"/>
    <w:basedOn w:val="644"/>
    <w:uiPriority w:val="10"/>
    <w:qFormat/>
    <w:rPr>
      <w:sz w:val="48"/>
      <w:szCs w:val="48"/>
    </w:rPr>
  </w:style>
  <w:style w:type="character" w:styleId="678" w:customStyle="1">
    <w:name w:val="Subtitle Char"/>
    <w:basedOn w:val="644"/>
    <w:uiPriority w:val="11"/>
    <w:qFormat/>
    <w:rPr>
      <w:sz w:val="24"/>
      <w:szCs w:val="24"/>
    </w:rPr>
  </w:style>
  <w:style w:type="character" w:styleId="679" w:customStyle="1">
    <w:name w:val="Quote Char"/>
    <w:uiPriority w:val="29"/>
    <w:qFormat/>
    <w:rPr>
      <w:i/>
    </w:rPr>
  </w:style>
  <w:style w:type="character" w:styleId="680" w:customStyle="1">
    <w:name w:val="Intense Quote Char"/>
    <w:uiPriority w:val="30"/>
    <w:qFormat/>
    <w:rPr>
      <w:i/>
    </w:rPr>
  </w:style>
  <w:style w:type="character" w:styleId="681" w:customStyle="1">
    <w:name w:val="Header Char"/>
    <w:basedOn w:val="644"/>
    <w:uiPriority w:val="99"/>
    <w:qFormat/>
  </w:style>
  <w:style w:type="character" w:styleId="682" w:customStyle="1">
    <w:name w:val="Caption Char"/>
    <w:uiPriority w:val="99"/>
    <w:qFormat/>
  </w:style>
  <w:style w:type="character" w:styleId="683" w:customStyle="1">
    <w:name w:val="Footnote Text Char"/>
    <w:uiPriority w:val="99"/>
    <w:qFormat/>
    <w:rPr>
      <w:sz w:val="18"/>
    </w:rPr>
  </w:style>
  <w:style w:type="character" w:styleId="684" w:customStyle="1">
    <w:name w:val="Endnote Text Char"/>
    <w:uiPriority w:val="99"/>
    <w:qFormat/>
    <w:rPr>
      <w:sz w:val="20"/>
    </w:rPr>
  </w:style>
  <w:style w:type="character" w:styleId="685" w:customStyle="1">
    <w:name w:val="Заголовок 1 Знак"/>
    <w:basedOn w:val="644"/>
    <w:link w:val="635"/>
    <w:uiPriority w:val="9"/>
    <w:qFormat/>
    <w:rPr>
      <w:rFonts w:ascii="Arial" w:hAnsi="Arial" w:eastAsia="Arial" w:cs="Arial"/>
      <w:sz w:val="40"/>
      <w:szCs w:val="40"/>
    </w:rPr>
  </w:style>
  <w:style w:type="character" w:styleId="686" w:customStyle="1">
    <w:name w:val="Заголовок 2 Знак"/>
    <w:basedOn w:val="644"/>
    <w:link w:val="636"/>
    <w:uiPriority w:val="9"/>
    <w:qFormat/>
    <w:rPr>
      <w:rFonts w:ascii="Arial" w:hAnsi="Arial" w:eastAsia="Arial" w:cs="Arial"/>
      <w:sz w:val="34"/>
    </w:rPr>
  </w:style>
  <w:style w:type="character" w:styleId="687" w:customStyle="1">
    <w:name w:val="Заголовок 3 Знак"/>
    <w:basedOn w:val="644"/>
    <w:link w:val="637"/>
    <w:uiPriority w:val="9"/>
    <w:qFormat/>
    <w:rPr>
      <w:rFonts w:ascii="Arial" w:hAnsi="Arial" w:eastAsia="Arial" w:cs="Arial"/>
      <w:sz w:val="30"/>
      <w:szCs w:val="30"/>
    </w:rPr>
  </w:style>
  <w:style w:type="character" w:styleId="688" w:customStyle="1">
    <w:name w:val="Заголовок 4 Знак"/>
    <w:basedOn w:val="644"/>
    <w:link w:val="63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89" w:customStyle="1">
    <w:name w:val="Заголовок 5 Знак"/>
    <w:basedOn w:val="644"/>
    <w:link w:val="639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90" w:customStyle="1">
    <w:name w:val="Заголовок 6 Знак"/>
    <w:basedOn w:val="644"/>
    <w:link w:val="640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91" w:customStyle="1">
    <w:name w:val="Заголовок 7 Знак"/>
    <w:basedOn w:val="644"/>
    <w:link w:val="641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92" w:customStyle="1">
    <w:name w:val="Заголовок 8 Знак"/>
    <w:basedOn w:val="644"/>
    <w:link w:val="642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93" w:customStyle="1">
    <w:name w:val="Заголовок 9 Знак"/>
    <w:basedOn w:val="644"/>
    <w:link w:val="643"/>
    <w:uiPriority w:val="9"/>
    <w:qFormat/>
    <w:rPr>
      <w:rFonts w:ascii="Arial" w:hAnsi="Arial" w:eastAsia="Arial" w:cs="Arial"/>
      <w:i/>
      <w:iCs/>
      <w:sz w:val="21"/>
      <w:szCs w:val="21"/>
    </w:rPr>
  </w:style>
  <w:style w:type="paragraph" w:styleId="694">
    <w:name w:val="List Paragraph"/>
    <w:basedOn w:val="634"/>
    <w:uiPriority w:val="34"/>
    <w:qFormat/>
    <w:pPr>
      <w:contextualSpacing/>
      <w:ind w:left="720"/>
    </w:pPr>
  </w:style>
  <w:style w:type="paragraph" w:styleId="695">
    <w:name w:val="No Spacing"/>
    <w:uiPriority w:val="1"/>
    <w:qFormat/>
    <w:pPr>
      <w:spacing w:before="0" w:beforeAutospacing="0" w:after="0" w:afterAutospacing="0" w:line="240" w:lineRule="auto"/>
    </w:pPr>
    <w:rPr>
      <w:rFonts w:hint="default"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styleId="696" w:customStyle="1">
    <w:name w:val="Название Знак"/>
    <w:basedOn w:val="644"/>
    <w:link w:val="663"/>
    <w:uiPriority w:val="10"/>
    <w:qFormat/>
    <w:rPr>
      <w:sz w:val="48"/>
      <w:szCs w:val="48"/>
    </w:rPr>
  </w:style>
  <w:style w:type="character" w:styleId="697" w:customStyle="1">
    <w:name w:val="Подзаголовок Знак"/>
    <w:basedOn w:val="644"/>
    <w:link w:val="666"/>
    <w:uiPriority w:val="11"/>
    <w:qFormat/>
    <w:rPr>
      <w:sz w:val="24"/>
      <w:szCs w:val="24"/>
    </w:rPr>
  </w:style>
  <w:style w:type="paragraph" w:styleId="698">
    <w:name w:val="Quote"/>
    <w:basedOn w:val="634"/>
    <w:next w:val="634"/>
    <w:link w:val="699"/>
    <w:uiPriority w:val="29"/>
    <w:qFormat/>
    <w:pPr>
      <w:ind w:left="720" w:right="720"/>
    </w:pPr>
    <w:rPr>
      <w:i/>
    </w:rPr>
  </w:style>
  <w:style w:type="character" w:styleId="699" w:customStyle="1">
    <w:name w:val="Цитата 2 Знак"/>
    <w:link w:val="698"/>
    <w:uiPriority w:val="29"/>
    <w:qFormat/>
    <w:rPr>
      <w:i/>
    </w:rPr>
  </w:style>
  <w:style w:type="paragraph" w:styleId="700">
    <w:name w:val="Intense Quote"/>
    <w:basedOn w:val="634"/>
    <w:next w:val="634"/>
    <w:link w:val="70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1" w:customStyle="1">
    <w:name w:val="Выделенная цитата Знак"/>
    <w:link w:val="700"/>
    <w:uiPriority w:val="30"/>
    <w:qFormat/>
    <w:rPr>
      <w:i/>
    </w:rPr>
  </w:style>
  <w:style w:type="character" w:styleId="702" w:customStyle="1">
    <w:name w:val="Верхний колонтитул Знак"/>
    <w:basedOn w:val="644"/>
    <w:link w:val="653"/>
    <w:uiPriority w:val="99"/>
    <w:qFormat/>
  </w:style>
  <w:style w:type="character" w:styleId="703" w:customStyle="1">
    <w:name w:val="Footer Char"/>
    <w:basedOn w:val="644"/>
    <w:uiPriority w:val="99"/>
    <w:qFormat/>
  </w:style>
  <w:style w:type="character" w:styleId="704" w:customStyle="1">
    <w:name w:val="Нижний колонтитул Знак"/>
    <w:link w:val="664"/>
    <w:uiPriority w:val="99"/>
    <w:qFormat/>
  </w:style>
  <w:style w:type="table" w:styleId="705" w:customStyle="1">
    <w:name w:val="Table Grid Light"/>
    <w:basedOn w:val="645"/>
    <w:uiPriority w:val="59"/>
    <w:qFormat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styleId="706" w:customStyle="1">
    <w:name w:val="Plain Table 1"/>
    <w:basedOn w:val="645"/>
    <w:uiPriority w:val="59"/>
    <w:qFormat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band1Horz">
      <w:tcPr>
        <w:shd w:val="clear" w:color="f1f1f1" w:themeColor="text1" w:themeTint="0D" w:fill="f1f1f1" w:themeFill="text1" w:themeFillTint="0D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7" w:customStyle="1">
    <w:name w:val="Plain Table 2"/>
    <w:basedOn w:val="645"/>
    <w:uiPriority w:val="59"/>
    <w:qFormat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8" w:customStyle="1">
    <w:name w:val="Plain Table 3"/>
    <w:basedOn w:val="645"/>
    <w:uiPriority w:val="99"/>
    <w:qFormat/>
    <w:pPr>
      <w:spacing w:after="0" w:line="240" w:lineRule="auto"/>
    </w:pPr>
    <w:tblPr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9" w:customStyle="1">
    <w:name w:val="Plain Table 4"/>
    <w:basedOn w:val="645"/>
    <w:uiPriority w:val="99"/>
    <w:qFormat/>
    <w:pPr>
      <w:spacing w:after="0" w:line="240" w:lineRule="auto"/>
    </w:pPr>
    <w:tblPr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 w:customStyle="1">
    <w:name w:val="Plain Table 5"/>
    <w:basedOn w:val="645"/>
    <w:uiPriority w:val="99"/>
    <w:qFormat/>
    <w:pPr>
      <w:spacing w:after="0" w:line="240" w:lineRule="auto"/>
    </w:pPr>
    <w:tblPr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1" w:customStyle="1">
    <w:name w:val="Grid Table 1 Light"/>
    <w:basedOn w:val="645"/>
    <w:uiPriority w:val="99"/>
    <w:qFormat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 w:customStyle="1">
    <w:name w:val="Grid Table 1 Light - Accent 1"/>
    <w:basedOn w:val="645"/>
    <w:uiPriority w:val="99"/>
    <w:qFormat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 w:customStyle="1">
    <w:name w:val="Grid Table 1 Light - Accent 2"/>
    <w:basedOn w:val="645"/>
    <w:uiPriority w:val="99"/>
    <w:qFormat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 w:customStyle="1">
    <w:name w:val="Grid Table 1 Light - Accent 3"/>
    <w:basedOn w:val="645"/>
    <w:uiPriority w:val="99"/>
    <w:qFormat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 w:customStyle="1">
    <w:name w:val="Grid Table 1 Light - Accent 4"/>
    <w:basedOn w:val="645"/>
    <w:uiPriority w:val="99"/>
    <w:qFormat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 w:customStyle="1">
    <w:name w:val="Grid Table 1 Light - Accent 5"/>
    <w:basedOn w:val="645"/>
    <w:uiPriority w:val="99"/>
    <w:qFormat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 w:customStyle="1">
    <w:name w:val="Grid Table 1 Light - Accent 6"/>
    <w:basedOn w:val="645"/>
    <w:uiPriority w:val="99"/>
    <w:qFormat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 w:customStyle="1">
    <w:name w:val="Grid Table 2"/>
    <w:basedOn w:val="645"/>
    <w:uiPriority w:val="99"/>
    <w:qFormat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96969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96969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 w:customStyle="1">
    <w:name w:val="Grid Table 2 - Accent 1"/>
    <w:basedOn w:val="645"/>
    <w:uiPriority w:val="99"/>
    <w:qFormat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B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B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 w:customStyle="1">
    <w:name w:val="Grid Table 2 - Accent 2"/>
    <w:basedOn w:val="645"/>
    <w:uiPriority w:val="99"/>
    <w:qFormat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7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7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 w:customStyle="1">
    <w:name w:val="Grid Table 2 - Accent 3"/>
    <w:basedOn w:val="645"/>
    <w:uiPriority w:val="99"/>
    <w:qFormat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B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B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 w:customStyle="1">
    <w:name w:val="Grid Table 2 - Accent 4"/>
    <w:basedOn w:val="645"/>
    <w:uiPriority w:val="99"/>
    <w:qFormat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 w:customStyle="1">
    <w:name w:val="Grid Table 2 - Accent 5"/>
    <w:basedOn w:val="645"/>
    <w:uiPriority w:val="99"/>
    <w:qFormat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2 - Accent 6"/>
    <w:basedOn w:val="645"/>
    <w:uiPriority w:val="99"/>
    <w:qFormat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3"/>
    <w:basedOn w:val="645"/>
    <w:uiPriority w:val="99"/>
    <w:qFormat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3 - Accent 1"/>
    <w:basedOn w:val="645"/>
    <w:uiPriority w:val="99"/>
    <w:qFormat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3 - Accent 2"/>
    <w:basedOn w:val="645"/>
    <w:uiPriority w:val="99"/>
    <w:qFormat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3 - Accent 3"/>
    <w:basedOn w:val="645"/>
    <w:uiPriority w:val="99"/>
    <w:qFormat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3 - Accent 4"/>
    <w:basedOn w:val="645"/>
    <w:uiPriority w:val="99"/>
    <w:qFormat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3 - Accent 5"/>
    <w:basedOn w:val="645"/>
    <w:uiPriority w:val="99"/>
    <w:qFormat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3 - Accent 6"/>
    <w:basedOn w:val="645"/>
    <w:uiPriority w:val="99"/>
    <w:qFormat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4"/>
    <w:basedOn w:val="645"/>
    <w:uiPriority w:val="59"/>
    <w:qFormat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3" w:customStyle="1">
    <w:name w:val="Grid Table 4 - Accent 1"/>
    <w:basedOn w:val="645"/>
    <w:uiPriority w:val="59"/>
    <w:qFormat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bc2" w:themeColor="accent1" w:themeTint="EA" w:fill="5d8bc2" w:themeFill="accent1" w:themeFillTint="EA"/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</w:style>
  <w:style w:type="table" w:styleId="734" w:customStyle="1">
    <w:name w:val="Grid Table 4 - Accent 2"/>
    <w:basedOn w:val="645"/>
    <w:uiPriority w:val="59"/>
    <w:qFormat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</w:style>
  <w:style w:type="table" w:styleId="735" w:customStyle="1">
    <w:name w:val="Grid Table 4 - Accent 3"/>
    <w:basedOn w:val="645"/>
    <w:uiPriority w:val="59"/>
    <w:qFormat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themeTint="FE" w:fill="9bbb59" w:themeFill="accent3" w:themeFillTint="FE"/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</w:style>
  <w:style w:type="table" w:styleId="736" w:customStyle="1">
    <w:name w:val="Grid Table 4 - Accent 4"/>
    <w:basedOn w:val="645"/>
    <w:uiPriority w:val="59"/>
    <w:qFormat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37" w:customStyle="1">
    <w:name w:val="Grid Table 4 - Accent 5"/>
    <w:basedOn w:val="645"/>
    <w:uiPriority w:val="59"/>
    <w:qFormat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38" w:customStyle="1">
    <w:name w:val="Grid Table 4 - Accent 6"/>
    <w:basedOn w:val="645"/>
    <w:uiPriority w:val="59"/>
    <w:qFormat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39" w:customStyle="1">
    <w:name w:val="Grid Table 5 Dark"/>
    <w:basedOn w:val="645"/>
    <w:uiPriority w:val="99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898989" w:themeColor="text1" w:themeTint="75" w:fill="898989" w:themeFill="text1" w:themeFillTint="75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0" w:customStyle="1">
    <w:name w:val="Grid Table 5 Dark- Accent 1"/>
    <w:basedOn w:val="645"/>
    <w:uiPriority w:val="99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aec5e0" w:themeColor="accent1" w:themeTint="75" w:fill="aec5e0" w:themeFill="accent1" w:themeFillTint="75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41" w:customStyle="1">
    <w:name w:val="Grid Table 5 Dark - Accent 2"/>
    <w:basedOn w:val="645"/>
    <w:uiPriority w:val="99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42" w:customStyle="1">
    <w:name w:val="Grid Table 5 Dark - Accent 3"/>
    <w:basedOn w:val="645"/>
    <w:uiPriority w:val="99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d1dfb2" w:themeColor="accent3" w:themeTint="75" w:fill="d1dfb2" w:themeFill="accent3" w:themeFillTint="75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43" w:customStyle="1">
    <w:name w:val="Grid Table 5 Dark- Accent 4"/>
    <w:basedOn w:val="645"/>
    <w:uiPriority w:val="99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44" w:customStyle="1">
    <w:name w:val="Grid Table 5 Dark - Accent 5"/>
    <w:basedOn w:val="645"/>
    <w:uiPriority w:val="99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45" w:customStyle="1">
    <w:name w:val="Grid Table 5 Dark - Accent 6"/>
    <w:basedOn w:val="645"/>
    <w:uiPriority w:val="99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46" w:customStyle="1">
    <w:name w:val="Grid Table 6 Colorful"/>
    <w:basedOn w:val="645"/>
    <w:uiPriority w:val="99"/>
    <w:qFormat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styleId="747" w:customStyle="1">
    <w:name w:val="Grid Table 6 Colorful - Accent 1"/>
    <w:basedOn w:val="645"/>
    <w:uiPriority w:val="99"/>
    <w:qFormat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styleId="748" w:customStyle="1">
    <w:name w:val="Grid Table 6 Colorful - Accent 2"/>
    <w:basedOn w:val="645"/>
    <w:uiPriority w:val="99"/>
    <w:qFormat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styleId="749" w:customStyle="1">
    <w:name w:val="Grid Table 6 Colorful - Accent 3"/>
    <w:basedOn w:val="645"/>
    <w:uiPriority w:val="99"/>
    <w:qFormat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styleId="750" w:customStyle="1">
    <w:name w:val="Grid Table 6 Colorful - Accent 4"/>
    <w:basedOn w:val="645"/>
    <w:uiPriority w:val="99"/>
    <w:qFormat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styleId="751" w:customStyle="1">
    <w:name w:val="Grid Table 6 Colorful - Accent 5"/>
    <w:basedOn w:val="645"/>
    <w:uiPriority w:val="99"/>
    <w:qFormat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firstCol">
      <w:rPr>
        <w:b/>
        <w:color w:val="266778" w:themeColor="accent5" w:themeShade="94"/>
      </w:rPr>
    </w:tblStyle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8" w:themeColor="accent5" w:themeShade="94"/>
      </w:rPr>
    </w:tblStylePr>
    <w:tblStylePr w:type="lastRow">
      <w:rPr>
        <w:b/>
        <w:color w:val="266778" w:themeColor="accent5" w:themeShade="94"/>
      </w:rPr>
    </w:tblStylePr>
  </w:style>
  <w:style w:type="table" w:styleId="752" w:customStyle="1">
    <w:name w:val="Grid Table 6 Colorful - Accent 6"/>
    <w:basedOn w:val="645"/>
    <w:uiPriority w:val="99"/>
    <w:qFormat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firstCol">
      <w:rPr>
        <w:b/>
        <w:color w:val="266778" w:themeColor="accent5" w:themeShade="94"/>
      </w:rPr>
    </w:tblStyle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8" w:themeColor="accent5" w:themeShade="94"/>
      </w:rPr>
    </w:tblStylePr>
    <w:tblStylePr w:type="lastRow">
      <w:rPr>
        <w:b/>
        <w:color w:val="266778" w:themeColor="accent5" w:themeShade="94"/>
      </w:rPr>
    </w:tblStylePr>
  </w:style>
  <w:style w:type="table" w:styleId="753" w:customStyle="1">
    <w:name w:val="Grid Table 7 Colorful"/>
    <w:basedOn w:val="645"/>
    <w:uiPriority w:val="99"/>
    <w:qFormat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E7E7E" w:themeColor="text1" w:themeTint="80" w:sz="4" w:space="0"/>
        </w:tcBorders>
      </w:tcPr>
    </w:tblStyle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E7E7E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7E7E7E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7E7E7E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7 Colorful - Accent 1"/>
    <w:basedOn w:val="645"/>
    <w:uiPriority w:val="99"/>
    <w:qFormat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7 Colorful - Accent 2"/>
    <w:basedOn w:val="645"/>
    <w:uiPriority w:val="99"/>
    <w:qFormat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795" w:themeColor="accent2" w:themeTint="97" w:sz="4" w:space="0"/>
        </w:tcBorders>
      </w:tcPr>
    </w:tblStyle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7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D997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D997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7 Colorful - Accent 3"/>
    <w:basedOn w:val="645"/>
    <w:uiPriority w:val="99"/>
    <w:qFormat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themeTint="FE" w:sz="4" w:space="0"/>
        </w:tcBorders>
      </w:tcPr>
    </w:tblStyle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9B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9B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7 Colorful - Accent 4"/>
    <w:basedOn w:val="645"/>
    <w:uiPriority w:val="99"/>
    <w:qFormat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7 Colorful - Accent 5"/>
    <w:basedOn w:val="645"/>
    <w:uiPriority w:val="99"/>
    <w:qFormat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firstCol">
      <w:rPr>
        <w:rFonts w:ascii="Arial" w:hAnsi="Arial"/>
        <w:i/>
        <w:color w:val="266778" w:themeColor="accent5" w:themeShade="94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8" w:themeColor="accent5" w:themeShade="94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7 Colorful - Accent 6"/>
    <w:basedOn w:val="645"/>
    <w:uiPriority w:val="99"/>
    <w:qFormat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  <w:tblStylePr w:type="firstCol">
      <w:rPr>
        <w:rFonts w:ascii="Arial" w:hAnsi="Arial"/>
        <w:i/>
        <w:color w:val="b05408" w:themeColor="accent6" w:themeShade="94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05408" w:themeColor="accent6" w:themeShade="94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List Table 1 Light"/>
    <w:basedOn w:val="645"/>
    <w:uiPriority w:val="99"/>
    <w:qFormat/>
    <w:pPr>
      <w:spacing w:after="0" w:line="240" w:lineRule="auto"/>
    </w:pPr>
    <w:tblPr/>
    <w:tblStylePr w:type="band1Horz">
      <w:tcPr>
        <w:shd w:val="clear" w:color="bebebe" w:themeColor="text1" w:themeTint="40" w:fill="bebebe" w:themeFill="text1" w:themeFillTint="40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List Table 1 Light - Accent 1"/>
    <w:basedOn w:val="645"/>
    <w:uiPriority w:val="99"/>
    <w:qFormat/>
    <w:pPr>
      <w:spacing w:after="0" w:line="240" w:lineRule="auto"/>
    </w:pPr>
    <w:tblPr/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List Table 1 Light - Accent 2"/>
    <w:basedOn w:val="645"/>
    <w:uiPriority w:val="99"/>
    <w:qFormat/>
    <w:pPr>
      <w:spacing w:after="0" w:line="240" w:lineRule="auto"/>
    </w:pPr>
    <w:tblPr/>
    <w:tblStylePr w:type="band1Horz">
      <w:tcPr>
        <w:shd w:val="clear" w:color="efd3d2" w:themeColor="accent2" w:themeTint="40" w:fill="efd3d2" w:themeFill="accent2" w:themeFillTint="40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List Table 1 Light - Accent 3"/>
    <w:basedOn w:val="645"/>
    <w:uiPriority w:val="99"/>
    <w:qFormat/>
    <w:pPr>
      <w:spacing w:after="0" w:line="240" w:lineRule="auto"/>
    </w:pPr>
    <w:tblPr/>
    <w:tblStylePr w:type="band1Horz">
      <w:tcPr>
        <w:shd w:val="clear" w:color="e5edd5" w:themeColor="accent3" w:themeTint="40" w:fill="e5edd5" w:themeFill="accent3" w:themeFillTint="40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List Table 1 Light - Accent 4"/>
    <w:basedOn w:val="645"/>
    <w:uiPriority w:val="99"/>
    <w:qFormat/>
    <w:pPr>
      <w:spacing w:after="0" w:line="240" w:lineRule="auto"/>
    </w:pPr>
    <w:tblPr/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List Table 1 Light - Accent 5"/>
    <w:basedOn w:val="645"/>
    <w:uiPriority w:val="99"/>
    <w:qFormat/>
    <w:pPr>
      <w:spacing w:after="0" w:line="240" w:lineRule="auto"/>
    </w:pPr>
    <w:tblPr/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List Table 1 Light - Accent 6"/>
    <w:basedOn w:val="645"/>
    <w:uiPriority w:val="99"/>
    <w:qFormat/>
    <w:pPr>
      <w:spacing w:after="0" w:line="240" w:lineRule="auto"/>
    </w:pPr>
    <w:tblPr/>
    <w:tblStylePr w:type="band1Horz">
      <w:tcPr>
        <w:shd w:val="clear" w:color="fce4d0" w:themeColor="accent6" w:themeTint="40" w:fill="fce4d0" w:themeFill="accent6" w:themeFillTint="40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List Table 2"/>
    <w:basedOn w:val="645"/>
    <w:uiPriority w:val="99"/>
    <w:qFormat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one" w:color="000000" w:sz="4" w:space="0"/>
          <w:bottom w:val="single" w:color="6E6E6E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one" w:color="000000" w:sz="4" w:space="0"/>
          <w:bottom w:val="single" w:color="6E6E6E" w:themeColor="text1" w:themeTint="90" w:sz="4" w:space="0"/>
          <w:right w:val="none" w:color="000000" w:sz="4" w:space="0"/>
        </w:tcBorders>
      </w:tcPr>
    </w:tblStylePr>
  </w:style>
  <w:style w:type="table" w:styleId="768" w:customStyle="1">
    <w:name w:val="List Table 2 - Accent 1"/>
    <w:basedOn w:val="645"/>
    <w:uiPriority w:val="99"/>
    <w:qFormat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69" w:customStyle="1">
    <w:name w:val="List Table 2 - Accent 2"/>
    <w:basedOn w:val="645"/>
    <w:uiPriority w:val="99"/>
    <w:qFormat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one" w:color="000000" w:sz="4" w:space="0"/>
          <w:bottom w:val="single" w:color="DB9C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one" w:color="000000" w:sz="4" w:space="0"/>
          <w:bottom w:val="single" w:color="DB9C9A" w:themeColor="accent2" w:themeTint="90" w:sz="4" w:space="0"/>
          <w:right w:val="none" w:color="000000" w:sz="4" w:space="0"/>
        </w:tcBorders>
      </w:tcPr>
    </w:tblStylePr>
  </w:style>
  <w:style w:type="table" w:styleId="770" w:customStyle="1">
    <w:name w:val="List Table 2 - Accent 3"/>
    <w:basedOn w:val="645"/>
    <w:uiPriority w:val="99"/>
    <w:qFormat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71" w:customStyle="1">
    <w:name w:val="List Table 2 - Accent 4"/>
    <w:basedOn w:val="645"/>
    <w:uiPriority w:val="99"/>
    <w:qFormat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72" w:customStyle="1">
    <w:name w:val="List Table 2 - Accent 5"/>
    <w:basedOn w:val="645"/>
    <w:uiPriority w:val="99"/>
    <w:qFormat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73" w:customStyle="1">
    <w:name w:val="List Table 2 - Accent 6"/>
    <w:basedOn w:val="645"/>
    <w:uiPriority w:val="99"/>
    <w:qFormat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74" w:customStyle="1">
    <w:name w:val="List Table 3"/>
    <w:basedOn w:val="645"/>
    <w:uiPriority w:val="99"/>
    <w:qFormat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List Table 3 - Accent 1"/>
    <w:basedOn w:val="645"/>
    <w:uiPriority w:val="99"/>
    <w:qFormat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 w:customStyle="1">
    <w:name w:val="List Table 3 - Accent 2"/>
    <w:basedOn w:val="645"/>
    <w:uiPriority w:val="99"/>
    <w:qFormat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 w:customStyle="1">
    <w:name w:val="List Table 3 - Accent 3"/>
    <w:basedOn w:val="645"/>
    <w:uiPriority w:val="99"/>
    <w:qFormat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List Table 3 - Accent 4"/>
    <w:basedOn w:val="645"/>
    <w:uiPriority w:val="99"/>
    <w:qFormat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List Table 3 - Accent 5"/>
    <w:basedOn w:val="645"/>
    <w:uiPriority w:val="99"/>
    <w:qFormat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3 - Accent 6"/>
    <w:basedOn w:val="645"/>
    <w:uiPriority w:val="99"/>
    <w:qFormat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4"/>
    <w:basedOn w:val="645"/>
    <w:uiPriority w:val="99"/>
    <w:qFormat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4 - Accent 1"/>
    <w:basedOn w:val="645"/>
    <w:uiPriority w:val="99"/>
    <w:qFormat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4 - Accent 2"/>
    <w:basedOn w:val="645"/>
    <w:uiPriority w:val="99"/>
    <w:qFormat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4 - Accent 3"/>
    <w:basedOn w:val="645"/>
    <w:uiPriority w:val="99"/>
    <w:qFormat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4 - Accent 4"/>
    <w:basedOn w:val="645"/>
    <w:uiPriority w:val="99"/>
    <w:qFormat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4 - Accent 5"/>
    <w:basedOn w:val="645"/>
    <w:uiPriority w:val="99"/>
    <w:qFormat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4 - Accent 6"/>
    <w:basedOn w:val="645"/>
    <w:uiPriority w:val="99"/>
    <w:qFormat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5 Dark"/>
    <w:basedOn w:val="645"/>
    <w:uiPriority w:val="99"/>
    <w:qFormat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band1Horz">
      <w:tcPr>
        <w:shd w:val="clear" w:color="7e7e7e" w:themeColor="text1" w:themeTint="80" w:fill="7e7e7e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e7e7e" w:themeColor="text1" w:themeTint="80" w:fill="7e7e7e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e7e7e" w:themeColor="text1" w:themeTint="80" w:fill="7e7e7e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7e7e7e" w:themeColor="text1" w:themeTint="80" w:fill="7e7e7e" w:themeFill="text1" w:themeFillTint="80"/>
        <w:tcBorders>
          <w:top w:val="single" w:color="7E7E7E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789" w:customStyle="1">
    <w:name w:val="List Table 5 Dark - Accent 1"/>
    <w:basedOn w:val="645"/>
    <w:uiPriority w:val="99"/>
    <w:qFormat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790" w:customStyle="1">
    <w:name w:val="List Table 5 Dark - Accent 2"/>
    <w:basedOn w:val="645"/>
    <w:uiPriority w:val="99"/>
    <w:qFormat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band1Horz">
      <w:tcPr>
        <w:shd w:val="clear" w:color="d99795" w:themeColor="accent2" w:themeTint="97" w:fill="d997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795" w:themeColor="accent2" w:themeTint="97" w:fill="d997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795" w:themeColor="accent2" w:themeTint="97" w:fill="d997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d99795" w:themeColor="accent2" w:themeTint="97" w:fill="d99795" w:themeFill="accent2" w:themeFillTint="97"/>
        <w:tcBorders>
          <w:top w:val="single" w:color="D997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791" w:customStyle="1">
    <w:name w:val="List Table 5 Dark - Accent 3"/>
    <w:basedOn w:val="645"/>
    <w:uiPriority w:val="99"/>
    <w:qFormat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band1Horz">
      <w:tcPr>
        <w:shd w:val="clear" w:color="c3d69c" w:themeColor="accent3" w:themeTint="98" w:fill="c3d69c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c" w:themeColor="accent3" w:themeTint="98" w:fill="c3d69c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c" w:themeColor="accent3" w:themeTint="98" w:fill="c3d69c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c3d69c" w:themeColor="accent3" w:themeTint="98" w:fill="c3d69c" w:themeFill="accent3" w:themeFillTint="98"/>
        <w:tcBorders>
          <w:top w:val="single" w:color="C3D69C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792" w:customStyle="1">
    <w:name w:val="List Table 5 Dark - Accent 4"/>
    <w:basedOn w:val="645"/>
    <w:uiPriority w:val="99"/>
    <w:qFormat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793" w:customStyle="1">
    <w:name w:val="List Table 5 Dark - Accent 5"/>
    <w:basedOn w:val="645"/>
    <w:uiPriority w:val="99"/>
    <w:qFormat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794" w:customStyle="1">
    <w:name w:val="List Table 5 Dark - Accent 6"/>
    <w:basedOn w:val="645"/>
    <w:uiPriority w:val="99"/>
    <w:qFormat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795" w:customStyle="1">
    <w:name w:val="List Table 6 Colorful"/>
    <w:basedOn w:val="645"/>
    <w:uiPriority w:val="99"/>
    <w:qFormat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</w:style>
  <w:style w:type="table" w:styleId="796" w:customStyle="1">
    <w:name w:val="List Table 6 Colorful - Accent 1"/>
    <w:basedOn w:val="645"/>
    <w:uiPriority w:val="99"/>
    <w:qFormat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  <w:tblStylePr w:type="firstCol">
      <w:rPr>
        <w:b/>
        <w:color w:val="2a4b71" w:themeColor="accent1" w:themeShade="94"/>
      </w:rPr>
    </w:tblStyle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b71" w:themeColor="accent1" w:themeShade="94"/>
      </w:r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</w:style>
  <w:style w:type="table" w:styleId="797" w:customStyle="1">
    <w:name w:val="List Table 6 Colorful - Accent 2"/>
    <w:basedOn w:val="645"/>
    <w:uiPriority w:val="99"/>
    <w:qFormat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</w:style>
  <w:style w:type="table" w:styleId="798" w:customStyle="1">
    <w:name w:val="List Table 6 Colorful - Accent 3"/>
    <w:basedOn w:val="645"/>
    <w:uiPriority w:val="99"/>
    <w:qFormat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</w:style>
  <w:style w:type="table" w:styleId="799" w:customStyle="1">
    <w:name w:val="List Table 6 Colorful - Accent 4"/>
    <w:basedOn w:val="645"/>
    <w:uiPriority w:val="99"/>
    <w:qFormat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</w:style>
  <w:style w:type="table" w:styleId="800" w:customStyle="1">
    <w:name w:val="List Table 6 Colorful - Accent 5"/>
    <w:basedOn w:val="645"/>
    <w:uiPriority w:val="99"/>
    <w:qFormat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</w:style>
  <w:style w:type="table" w:styleId="801" w:customStyle="1">
    <w:name w:val="List Table 6 Colorful - Accent 6"/>
    <w:basedOn w:val="645"/>
    <w:uiPriority w:val="99"/>
    <w:qFormat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</w:style>
  <w:style w:type="table" w:styleId="802" w:customStyle="1">
    <w:name w:val="List Table 7 Colorful"/>
    <w:basedOn w:val="645"/>
    <w:uiPriority w:val="99"/>
    <w:qFormat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E7E7E" w:themeColor="text1" w:themeTint="80" w:sz="4" w:space="0"/>
        </w:tcBorders>
      </w:tcPr>
    </w:tblStyle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E7E7E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7E7E7E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7E7E7E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List Table 7 Colorful - Accent 1"/>
    <w:basedOn w:val="645"/>
    <w:uiPriority w:val="99"/>
    <w:qFormat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  <w:tblStylePr w:type="firstCol">
      <w:rPr>
        <w:rFonts w:ascii="Arial" w:hAnsi="Arial"/>
        <w:i/>
        <w:color w:val="2a4b71" w:themeColor="accent1" w:themeShade="94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4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List Table 7 Colorful - Accent 2"/>
    <w:basedOn w:val="645"/>
    <w:uiPriority w:val="99"/>
    <w:qFormat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795" w:themeColor="accent2" w:themeTint="97" w:sz="4" w:space="0"/>
        </w:tcBorders>
      </w:tcPr>
    </w:tblStyle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7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D997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D997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List Table 7 Colorful - Accent 3"/>
    <w:basedOn w:val="645"/>
    <w:uiPriority w:val="99"/>
    <w:qFormat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C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C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C3D69C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C3D69C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List Table 7 Colorful - Accent 4"/>
    <w:basedOn w:val="645"/>
    <w:uiPriority w:val="99"/>
    <w:qFormat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List Table 7 Colorful - Accent 5"/>
    <w:basedOn w:val="645"/>
    <w:uiPriority w:val="99"/>
    <w:qFormat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List Table 7 Colorful - Accent 6"/>
    <w:basedOn w:val="645"/>
    <w:uiPriority w:val="99"/>
    <w:qFormat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Lined - Accent"/>
    <w:basedOn w:val="645"/>
    <w:uiPriority w:val="99"/>
    <w:qFormat/>
    <w:pPr>
      <w:spacing w:after="0" w:line="240" w:lineRule="auto"/>
    </w:pPr>
    <w:rPr>
      <w:color w:val="404040"/>
      <w:sz w:val="20"/>
      <w:szCs w:val="20"/>
      <w:lang w:eastAsia="ru-RU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</w:style>
  <w:style w:type="table" w:styleId="810" w:customStyle="1">
    <w:name w:val="Lined - Accent 1"/>
    <w:basedOn w:val="645"/>
    <w:uiPriority w:val="99"/>
    <w:qFormat/>
    <w:pPr>
      <w:spacing w:after="0" w:line="240" w:lineRule="auto"/>
    </w:pPr>
    <w:rPr>
      <w:color w:val="404040"/>
      <w:sz w:val="20"/>
      <w:szCs w:val="20"/>
      <w:lang w:eastAsia="ru-RU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</w:style>
  <w:style w:type="table" w:styleId="811" w:customStyle="1">
    <w:name w:val="Lined - Accent 2"/>
    <w:basedOn w:val="645"/>
    <w:uiPriority w:val="99"/>
    <w:qFormat/>
    <w:pPr>
      <w:spacing w:after="0" w:line="240" w:lineRule="auto"/>
    </w:pPr>
    <w:rPr>
      <w:color w:val="404040"/>
      <w:sz w:val="20"/>
      <w:szCs w:val="20"/>
      <w:lang w:eastAsia="ru-RU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</w:style>
  <w:style w:type="table" w:styleId="812" w:customStyle="1">
    <w:name w:val="Lined - Accent 3"/>
    <w:basedOn w:val="645"/>
    <w:uiPriority w:val="99"/>
    <w:qFormat/>
    <w:pPr>
      <w:spacing w:after="0" w:line="240" w:lineRule="auto"/>
    </w:pPr>
    <w:rPr>
      <w:color w:val="404040"/>
      <w:sz w:val="20"/>
      <w:szCs w:val="20"/>
      <w:lang w:eastAsia="ru-RU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</w:style>
  <w:style w:type="table" w:styleId="813" w:customStyle="1">
    <w:name w:val="Lined - Accent 4"/>
    <w:basedOn w:val="645"/>
    <w:uiPriority w:val="99"/>
    <w:qFormat/>
    <w:pPr>
      <w:spacing w:after="0" w:line="240" w:lineRule="auto"/>
    </w:pPr>
    <w:rPr>
      <w:color w:val="404040"/>
      <w:sz w:val="20"/>
      <w:szCs w:val="20"/>
      <w:lang w:eastAsia="ru-RU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14" w:customStyle="1">
    <w:name w:val="Lined - Accent 5"/>
    <w:basedOn w:val="645"/>
    <w:uiPriority w:val="99"/>
    <w:qFormat/>
    <w:pPr>
      <w:spacing w:after="0" w:line="240" w:lineRule="auto"/>
    </w:pPr>
    <w:rPr>
      <w:color w:val="404040"/>
      <w:sz w:val="20"/>
      <w:szCs w:val="20"/>
      <w:lang w:eastAsia="ru-RU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15" w:customStyle="1">
    <w:name w:val="Lined - Accent 6"/>
    <w:basedOn w:val="645"/>
    <w:uiPriority w:val="99"/>
    <w:qFormat/>
    <w:pPr>
      <w:spacing w:after="0" w:line="240" w:lineRule="auto"/>
    </w:pPr>
    <w:rPr>
      <w:color w:val="404040"/>
      <w:sz w:val="20"/>
      <w:szCs w:val="20"/>
      <w:lang w:eastAsia="ru-RU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16" w:customStyle="1">
    <w:name w:val="Bordered &amp; Lined - Accent"/>
    <w:basedOn w:val="645"/>
    <w:uiPriority w:val="99"/>
    <w:qFormat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</w:style>
  <w:style w:type="table" w:styleId="817" w:customStyle="1">
    <w:name w:val="Bordered &amp; Lined - Accent 1"/>
    <w:basedOn w:val="645"/>
    <w:uiPriority w:val="99"/>
    <w:qFormat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</w:style>
  <w:style w:type="table" w:styleId="818" w:customStyle="1">
    <w:name w:val="Bordered &amp; Lined - Accent 2"/>
    <w:basedOn w:val="645"/>
    <w:uiPriority w:val="99"/>
    <w:qFormat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</w:style>
  <w:style w:type="table" w:styleId="819" w:customStyle="1">
    <w:name w:val="Bordered &amp; Lined - Accent 3"/>
    <w:basedOn w:val="645"/>
    <w:uiPriority w:val="99"/>
    <w:qFormat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</w:style>
  <w:style w:type="table" w:styleId="820" w:customStyle="1">
    <w:name w:val="Bordered &amp; Lined - Accent 4"/>
    <w:basedOn w:val="645"/>
    <w:uiPriority w:val="99"/>
    <w:qFormat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21" w:customStyle="1">
    <w:name w:val="Bordered &amp; Lined - Accent 5"/>
    <w:basedOn w:val="645"/>
    <w:uiPriority w:val="99"/>
    <w:qFormat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22" w:customStyle="1">
    <w:name w:val="Bordered &amp; Lined - Accent 6"/>
    <w:basedOn w:val="645"/>
    <w:uiPriority w:val="99"/>
    <w:qFormat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23" w:customStyle="1">
    <w:name w:val="Bordered"/>
    <w:basedOn w:val="645"/>
    <w:uiPriority w:val="99"/>
    <w:qFormat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</w:style>
  <w:style w:type="table" w:styleId="824" w:customStyle="1">
    <w:name w:val="Bordered - Accent 1"/>
    <w:basedOn w:val="645"/>
    <w:uiPriority w:val="99"/>
    <w:qFormat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25" w:customStyle="1">
    <w:name w:val="Bordered - Accent 2"/>
    <w:basedOn w:val="645"/>
    <w:uiPriority w:val="99"/>
    <w:qFormat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</w:style>
  <w:style w:type="table" w:styleId="826" w:customStyle="1">
    <w:name w:val="Bordered - Accent 3"/>
    <w:basedOn w:val="645"/>
    <w:uiPriority w:val="99"/>
    <w:qFormat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</w:style>
  <w:style w:type="table" w:styleId="827" w:customStyle="1">
    <w:name w:val="Bordered - Accent 4"/>
    <w:basedOn w:val="645"/>
    <w:uiPriority w:val="99"/>
    <w:qFormat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28" w:customStyle="1">
    <w:name w:val="Bordered - Accent 5"/>
    <w:basedOn w:val="645"/>
    <w:uiPriority w:val="99"/>
    <w:qFormat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29" w:customStyle="1">
    <w:name w:val="Bordered - Accent 6"/>
    <w:basedOn w:val="645"/>
    <w:uiPriority w:val="99"/>
    <w:qFormat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30" w:customStyle="1">
    <w:name w:val="Текст сноски Знак"/>
    <w:link w:val="651"/>
    <w:uiPriority w:val="99"/>
    <w:qFormat/>
    <w:rPr>
      <w:sz w:val="18"/>
    </w:rPr>
  </w:style>
  <w:style w:type="character" w:styleId="831" w:customStyle="1">
    <w:name w:val="Текст концевой сноски Знак"/>
    <w:link w:val="649"/>
    <w:uiPriority w:val="99"/>
    <w:qFormat/>
    <w:rPr>
      <w:sz w:val="20"/>
    </w:rPr>
  </w:style>
  <w:style w:type="paragraph" w:styleId="832" w:customStyle="1">
    <w:name w:val="TOC Heading"/>
    <w:uiPriority w:val="39"/>
    <w:unhideWhenUsed/>
    <w:qFormat/>
    <w:pPr>
      <w:spacing w:before="0" w:beforeAutospacing="0" w:after="200" w:afterAutospacing="0" w:line="276" w:lineRule="auto"/>
    </w:pPr>
    <w:rPr>
      <w:rFonts w:hint="default"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833" w:customStyle="1">
    <w:name w:val="ConsPlusNormal"/>
    <w:uiPriority w:val="0"/>
    <w:qFormat/>
    <w:pPr>
      <w:spacing w:before="0" w:beforeAutospacing="0" w:after="0" w:afterAutospacing="0" w:line="240" w:lineRule="auto"/>
      <w:widowControl w:val="off"/>
    </w:pPr>
    <w:rPr>
      <w:rFonts w:hint="default" w:ascii="Calibri" w:hAnsi="Calibri" w:eastAsia="Times New Roman" w:cs="Calibri"/>
      <w:sz w:val="22"/>
      <w:szCs w:val="20"/>
      <w:lang w:val="ru-RU" w:eastAsia="ru-RU" w:bidi="ar-SA"/>
    </w:rPr>
  </w:style>
  <w:style w:type="paragraph" w:styleId="834" w:customStyle="1">
    <w:name w:val="ConsPlusNonformat"/>
    <w:uiPriority w:val="0"/>
    <w:qFormat/>
    <w:pPr>
      <w:spacing w:before="0" w:beforeAutospacing="0" w:after="0" w:afterAutospacing="0" w:line="240" w:lineRule="auto"/>
      <w:widowControl w:val="off"/>
    </w:pPr>
    <w:rPr>
      <w:rFonts w:hint="default" w:ascii="Courier New" w:hAnsi="Courier New" w:eastAsia="Times New Roman" w:cs="Courier New"/>
      <w:sz w:val="20"/>
      <w:szCs w:val="20"/>
      <w:lang w:val="ru-RU" w:eastAsia="ru-RU" w:bidi="ar-SA"/>
    </w:rPr>
  </w:style>
  <w:style w:type="paragraph" w:styleId="835" w:customStyle="1">
    <w:name w:val="ConsPlusTitle"/>
    <w:uiPriority w:val="0"/>
    <w:qFormat/>
    <w:pPr>
      <w:spacing w:before="0" w:beforeAutospacing="0" w:after="0" w:afterAutospacing="0" w:line="240" w:lineRule="auto"/>
      <w:widowControl w:val="off"/>
    </w:pPr>
    <w:rPr>
      <w:rFonts w:hint="default" w:ascii="Calibri" w:hAnsi="Calibri" w:eastAsia="Times New Roman" w:cs="Calibri"/>
      <w:b/>
      <w:sz w:val="22"/>
      <w:szCs w:val="20"/>
      <w:lang w:val="ru-RU" w:eastAsia="ru-RU" w:bidi="ar-SA"/>
    </w:rPr>
  </w:style>
  <w:style w:type="paragraph" w:styleId="836" w:customStyle="1">
    <w:name w:val="ConsPlusCell"/>
    <w:uiPriority w:val="0"/>
    <w:qFormat/>
    <w:pPr>
      <w:spacing w:before="0" w:beforeAutospacing="0" w:after="0" w:afterAutospacing="0" w:line="240" w:lineRule="auto"/>
      <w:widowControl w:val="off"/>
    </w:pPr>
    <w:rPr>
      <w:rFonts w:hint="default" w:ascii="Courier New" w:hAnsi="Courier New" w:eastAsia="Times New Roman" w:cs="Courier New"/>
      <w:sz w:val="20"/>
      <w:szCs w:val="20"/>
      <w:lang w:val="ru-RU" w:eastAsia="ru-RU" w:bidi="ar-SA"/>
    </w:rPr>
  </w:style>
  <w:style w:type="paragraph" w:styleId="837" w:customStyle="1">
    <w:name w:val="ConsPlusDocList"/>
    <w:uiPriority w:val="0"/>
    <w:qFormat/>
    <w:pPr>
      <w:spacing w:before="0" w:beforeAutospacing="0" w:after="0" w:afterAutospacing="0" w:line="240" w:lineRule="auto"/>
      <w:widowControl w:val="off"/>
    </w:pPr>
    <w:rPr>
      <w:rFonts w:hint="default" w:ascii="Calibri" w:hAnsi="Calibri" w:eastAsia="Times New Roman" w:cs="Calibri"/>
      <w:sz w:val="22"/>
      <w:szCs w:val="20"/>
      <w:lang w:val="ru-RU" w:eastAsia="ru-RU" w:bidi="ar-SA"/>
    </w:rPr>
  </w:style>
  <w:style w:type="paragraph" w:styleId="838" w:customStyle="1">
    <w:name w:val="ConsPlusTitlePage"/>
    <w:uiPriority w:val="0"/>
    <w:qFormat/>
    <w:pPr>
      <w:spacing w:before="0" w:beforeAutospacing="0" w:after="0" w:afterAutospacing="0" w:line="240" w:lineRule="auto"/>
      <w:widowControl w:val="off"/>
    </w:pPr>
    <w:rPr>
      <w:rFonts w:hint="default" w:ascii="Tahoma" w:hAnsi="Tahoma" w:eastAsia="Times New Roman" w:cs="Tahoma"/>
      <w:sz w:val="20"/>
      <w:szCs w:val="20"/>
      <w:lang w:val="ru-RU" w:eastAsia="ru-RU" w:bidi="ar-SA"/>
    </w:rPr>
  </w:style>
  <w:style w:type="paragraph" w:styleId="839" w:customStyle="1">
    <w:name w:val="ConsPlusJurTerm"/>
    <w:uiPriority w:val="0"/>
    <w:qFormat/>
    <w:pPr>
      <w:spacing w:before="0" w:beforeAutospacing="0" w:after="0" w:afterAutospacing="0" w:line="240" w:lineRule="auto"/>
      <w:widowControl w:val="off"/>
    </w:pPr>
    <w:rPr>
      <w:rFonts w:hint="default" w:ascii="Tahoma" w:hAnsi="Tahoma" w:eastAsia="Times New Roman" w:cs="Tahoma"/>
      <w:sz w:val="26"/>
      <w:szCs w:val="20"/>
      <w:lang w:val="ru-RU" w:eastAsia="ru-RU" w:bidi="ar-SA"/>
    </w:rPr>
  </w:style>
  <w:style w:type="paragraph" w:styleId="840" w:customStyle="1">
    <w:name w:val="ConsPlusTextList"/>
    <w:uiPriority w:val="0"/>
    <w:qFormat/>
    <w:pPr>
      <w:spacing w:before="0" w:beforeAutospacing="0" w:after="0" w:afterAutospacing="0" w:line="240" w:lineRule="auto"/>
      <w:widowControl w:val="off"/>
    </w:pPr>
    <w:rPr>
      <w:rFonts w:hint="default" w:ascii="Arial" w:hAnsi="Arial" w:eastAsia="Times New Roman" w:cs="Arial"/>
      <w:sz w:val="20"/>
      <w:szCs w:val="20"/>
      <w:lang w:val="ru-RU" w:eastAsia="ru-RU" w:bidi="ar-SA"/>
    </w:rPr>
  </w:style>
  <w:style w:type="paragraph" w:styleId="841" w:customStyle="1">
    <w:name w:val="Знак"/>
    <w:basedOn w:val="634"/>
    <w:uiPriority w:val="0"/>
    <w:qFormat/>
    <w:pPr>
      <w:spacing w:after="160" w:line="240" w:lineRule="exact"/>
    </w:pPr>
    <w:rPr>
      <w:rFonts w:ascii="Verdana" w:hAnsi="Verdana" w:eastAsia="Times New Roman" w:cs="Times New Roman"/>
      <w:sz w:val="20"/>
      <w:szCs w:val="20"/>
      <w:lang w:val="en-US"/>
    </w:rPr>
  </w:style>
  <w:style w:type="paragraph" w:styleId="842" w:customStyle="1">
    <w:name w:val="Знак1"/>
    <w:basedOn w:val="634"/>
    <w:uiPriority w:val="0"/>
    <w:qFormat/>
    <w:pPr>
      <w:spacing w:after="160" w:line="240" w:lineRule="exact"/>
    </w:pPr>
    <w:rPr>
      <w:rFonts w:ascii="Verdana" w:hAnsi="Verdana" w:eastAsia="Times New Roman" w:cs="Times New Roman"/>
      <w:sz w:val="20"/>
      <w:szCs w:val="20"/>
      <w:lang w:val="en-US"/>
    </w:rPr>
  </w:style>
  <w:style w:type="paragraph" w:styleId="843" w:customStyle="1">
    <w:name w:val="StGen0"/>
    <w:basedOn w:val="634"/>
    <w:next w:val="665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44" w:customStyle="1">
    <w:name w:val="Знак2"/>
    <w:basedOn w:val="634"/>
    <w:uiPriority w:val="0"/>
    <w:qFormat/>
    <w:pPr>
      <w:spacing w:after="160" w:line="240" w:lineRule="exact"/>
    </w:pPr>
    <w:rPr>
      <w:rFonts w:ascii="Verdana" w:hAnsi="Verdana" w:eastAsia="Times New Roman" w:cs="Times New Roman"/>
      <w:sz w:val="20"/>
      <w:szCs w:val="20"/>
      <w:lang w:val="en-US"/>
    </w:rPr>
  </w:style>
  <w:style w:type="numbering" w:styleId="845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DocSecurity>0</DocSecurity>
  <LinksUpToDate>false</LinksUpToDate>
  <ScaleCrop>false</ScaleCrop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Сорочинская И. Л.</dc:creator>
  <cp:revision>216</cp:revision>
  <dcterms:created xsi:type="dcterms:W3CDTF">2022-04-27T20:18:00Z</dcterms:created>
  <dcterms:modified xsi:type="dcterms:W3CDTF">2025-07-18T11:59:16Z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1049-11.1.0.11723</vt:lpwstr>
  </property>
</Properties>
</file>