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/>
      <w:bookmarkStart w:id="0" w:name="Par118"/>
      <w:r/>
      <w:bookmarkEnd w:id="0"/>
      <w:r>
        <w:rPr>
          <w:rFonts w:eastAsia="Calibri"/>
          <w:b/>
          <w:bCs/>
          <w:sz w:val="28"/>
          <w:szCs w:val="28"/>
          <w:lang w:eastAsia="en-US"/>
        </w:rPr>
        <w:t xml:space="preserve">Отчет </w:t>
      </w:r>
      <w:r/>
    </w:p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 оценке фактического воздействия</w:t>
      </w:r>
      <w:r/>
    </w:p>
    <w:p>
      <w:pPr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  <w:r/>
    </w:p>
    <w:p>
      <w:pPr>
        <w:ind w:firstLine="709"/>
        <w:jc w:val="both"/>
        <w:rPr>
          <w:b w:val="0"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1. Об</w:t>
      </w:r>
      <w:r>
        <w:rPr>
          <w:b w:val="0"/>
          <w:bCs/>
          <w:color w:val="auto"/>
          <w:sz w:val="28"/>
          <w:szCs w:val="28"/>
        </w:rPr>
        <w:t xml:space="preserve">щая информация: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auto"/>
          <w:sz w:val="28"/>
          <w:szCs w:val="28"/>
        </w:rPr>
        <w:t xml:space="preserve">1.1. Наименование нормативного правового акта: закон Белгородской области от</w:t>
      </w:r>
      <w:r>
        <w:rPr>
          <w:b w:val="0"/>
          <w:bCs/>
          <w:color w:val="auto"/>
          <w:sz w:val="28"/>
          <w:szCs w:val="28"/>
        </w:rPr>
        <w:t xml:space="preserve"> 0</w:t>
      </w:r>
      <w:r>
        <w:rPr>
          <w:rFonts w:hint="default"/>
          <w:b w:val="0"/>
          <w:bCs/>
          <w:color w:val="auto"/>
          <w:sz w:val="28"/>
          <w:szCs w:val="28"/>
          <w:lang w:val="ru-RU"/>
        </w:rPr>
        <w:t xml:space="preserve">9</w:t>
      </w:r>
      <w:r>
        <w:rPr>
          <w:b w:val="0"/>
          <w:bCs/>
          <w:color w:val="auto"/>
          <w:sz w:val="28"/>
          <w:szCs w:val="28"/>
        </w:rPr>
        <w:t xml:space="preserve"> </w:t>
      </w:r>
      <w:r>
        <w:rPr>
          <w:b w:val="0"/>
          <w:bCs/>
          <w:color w:val="auto"/>
          <w:sz w:val="28"/>
          <w:szCs w:val="28"/>
          <w:lang w:val="ru-RU"/>
        </w:rPr>
        <w:t xml:space="preserve">июня</w:t>
      </w:r>
      <w:r>
        <w:rPr>
          <w:rFonts w:hint="default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b w:val="0"/>
          <w:bCs/>
          <w:color w:val="auto"/>
          <w:sz w:val="28"/>
          <w:szCs w:val="28"/>
        </w:rPr>
        <w:t xml:space="preserve">202</w:t>
      </w:r>
      <w:r>
        <w:rPr>
          <w:rFonts w:hint="default"/>
          <w:b w:val="0"/>
          <w:bCs/>
          <w:color w:val="auto"/>
          <w:sz w:val="28"/>
          <w:szCs w:val="28"/>
          <w:lang w:val="ru-RU"/>
        </w:rPr>
        <w:t xml:space="preserve">2</w:t>
      </w:r>
      <w:r>
        <w:rPr>
          <w:b w:val="0"/>
          <w:bCs/>
          <w:color w:val="auto"/>
          <w:sz w:val="28"/>
          <w:szCs w:val="28"/>
        </w:rPr>
        <w:t xml:space="preserve"> года </w:t>
      </w:r>
      <w:r>
        <w:rPr>
          <w:rFonts w:hint="default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b w:val="0"/>
          <w:bCs/>
          <w:color w:val="auto"/>
          <w:sz w:val="28"/>
          <w:szCs w:val="28"/>
        </w:rPr>
        <w:t xml:space="preserve">№ </w:t>
      </w:r>
      <w:r>
        <w:rPr>
          <w:rFonts w:hint="default"/>
          <w:b w:val="0"/>
          <w:bCs/>
          <w:color w:val="auto"/>
          <w:sz w:val="28"/>
          <w:szCs w:val="28"/>
          <w:lang w:val="ru-RU"/>
        </w:rPr>
        <w:t xml:space="preserve">186</w:t>
      </w:r>
      <w:r>
        <w:rPr>
          <w:b w:val="0"/>
          <w:bCs/>
          <w:color w:val="auto"/>
          <w:sz w:val="28"/>
          <w:szCs w:val="28"/>
        </w:rPr>
        <w:t xml:space="preserve"> </w:t>
      </w:r>
      <w:r>
        <w:rPr>
          <w:rFonts w:eastAsia="Calibri"/>
          <w:b w:val="0"/>
          <w:bCs/>
          <w:color w:val="auto"/>
          <w:sz w:val="28"/>
          <w:szCs w:val="28"/>
        </w:rPr>
        <w:t xml:space="preserve">«О внесении изменения в статью 2 закона Белгородской обла</w:t>
      </w:r>
      <w:r>
        <w:rPr>
          <w:rFonts w:eastAsia="Calibri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сти</w:t>
      </w:r>
      <w:r>
        <w:rPr>
          <w:rFonts w:hint="default" w:eastAsia="Calibri"/>
          <w:b w:val="0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</w:t>
      </w:r>
      <w:r>
        <w:rPr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 регулировании отдельных вопросов в сфере розничной продажи алкогольной продукции</w:t>
      </w:r>
      <w:r>
        <w:rPr>
          <w:rFonts w:eastAsia="Calibri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».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1.2. Реквизиты и источники официального опубликования нормативного пра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вового акта и сведения о вносившихся в нормативный правовой акт изменениях (при наличии) (в том числе вид, дата, номер, наименование, редакция, источник опубликования): текст постановления опубликован на «Официальном интернет-портале правовой информации» (</w:t>
      </w:r>
      <w:r>
        <w:rPr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http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://www.pravo.gov.ru) 0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9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июня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202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2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года, </w:t>
      </w:r>
      <w:r>
        <w:rPr>
          <w:rFonts w:eastAsia="Calibr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 «Белгородские известия», № </w:t>
      </w:r>
      <w:r>
        <w:rPr>
          <w:rFonts w:hint="default" w:eastAsia="Calibri"/>
          <w:color w:val="000000" w:themeColor="text1"/>
          <w:sz w:val="28"/>
          <w:szCs w:val="28"/>
          <w:lang w:val="ru-RU" w:eastAsia="en-US"/>
          <w14:textFill>
            <w14:solidFill>
              <w14:schemeClr w14:val="tx1"/>
            </w14:solidFill>
          </w14:textFill>
        </w:rPr>
        <w:t xml:space="preserve">4</w:t>
      </w:r>
      <w:r>
        <w:rPr>
          <w:rFonts w:eastAsia="Calibr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6, 1</w:t>
      </w:r>
      <w:r>
        <w:rPr>
          <w:rFonts w:hint="default" w:eastAsia="Calibri"/>
          <w:color w:val="000000" w:themeColor="text1"/>
          <w:sz w:val="28"/>
          <w:szCs w:val="28"/>
          <w:lang w:val="ru-RU" w:eastAsia="en-US"/>
          <w14:textFill>
            <w14:solidFill>
              <w14:schemeClr w14:val="tx1"/>
            </w14:solidFill>
          </w14:textFill>
        </w:rPr>
        <w:t xml:space="preserve">7</w:t>
      </w:r>
      <w:r>
        <w:rPr>
          <w:rFonts w:eastAsia="Calibr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.0</w:t>
      </w:r>
      <w:r>
        <w:rPr>
          <w:rFonts w:hint="default" w:eastAsia="Calibri"/>
          <w:color w:val="000000" w:themeColor="text1"/>
          <w:sz w:val="28"/>
          <w:szCs w:val="28"/>
          <w:lang w:val="ru-RU" w:eastAsia="en-US"/>
          <w14:textFill>
            <w14:solidFill>
              <w14:schemeClr w14:val="tx1"/>
            </w14:solidFill>
          </w14:textFill>
        </w:rPr>
        <w:t xml:space="preserve">6</w:t>
      </w:r>
      <w:r>
        <w:rPr>
          <w:rFonts w:eastAsia="Calibr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.202</w:t>
      </w:r>
      <w:r>
        <w:rPr>
          <w:rFonts w:hint="default" w:eastAsia="Calibri"/>
          <w:color w:val="000000" w:themeColor="text1"/>
          <w:sz w:val="28"/>
          <w:szCs w:val="28"/>
          <w:lang w:val="ru-RU" w:eastAsia="en-US"/>
          <w14:textFill>
            <w14:solidFill>
              <w14:schemeClr w14:val="tx1"/>
            </w14:solidFill>
          </w14:textFill>
        </w:rPr>
        <w:t xml:space="preserve">2</w:t>
      </w:r>
      <w:r>
        <w:rPr>
          <w:rFonts w:eastAsia="Calibr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.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 Дата вступления в силу акта и его отдельных положений: документ вступил в силу со дня его официального опубликования с </w:t>
      </w:r>
      <w:r>
        <w:rPr>
          <w:rFonts w:hint="default"/>
          <w:color w:val="auto"/>
          <w:sz w:val="28"/>
          <w:szCs w:val="28"/>
          <w:lang w:val="ru-RU"/>
        </w:rPr>
        <w:t xml:space="preserve">20</w:t>
      </w:r>
      <w:r>
        <w:rPr>
          <w:color w:val="auto"/>
          <w:sz w:val="28"/>
          <w:szCs w:val="28"/>
        </w:rPr>
        <w:t xml:space="preserve"> июля 202</w:t>
      </w:r>
      <w:r>
        <w:rPr>
          <w:rFonts w:hint="default"/>
          <w:color w:val="auto"/>
          <w:sz w:val="28"/>
          <w:szCs w:val="28"/>
          <w:lang w:val="ru-RU"/>
        </w:rPr>
        <w:t xml:space="preserve">2</w:t>
      </w:r>
      <w:r>
        <w:rPr>
          <w:color w:val="auto"/>
          <w:sz w:val="28"/>
          <w:szCs w:val="28"/>
        </w:rPr>
        <w:t xml:space="preserve"> года.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1.4. Сроки проведения публичного обсуждения нормативного правового акта: 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</w:t>
      </w:r>
      <w:r>
        <w:rPr>
          <w:rFonts w:hint="default"/>
          <w:color w:val="auto"/>
          <w:sz w:val="28"/>
          <w:szCs w:val="28"/>
          <w:lang w:val="ru-RU"/>
        </w:rPr>
        <w:t xml:space="preserve">17</w:t>
      </w:r>
      <w:r>
        <w:rPr>
          <w:color w:val="auto"/>
          <w:sz w:val="28"/>
          <w:szCs w:val="28"/>
        </w:rPr>
        <w:t xml:space="preserve"> октября 202</w:t>
      </w:r>
      <w:r>
        <w:rPr>
          <w:rFonts w:hint="default"/>
          <w:color w:val="auto"/>
          <w:sz w:val="28"/>
          <w:szCs w:val="28"/>
          <w:lang w:val="ru-RU"/>
        </w:rPr>
        <w:t xml:space="preserve">5</w:t>
      </w:r>
      <w:r>
        <w:rPr>
          <w:color w:val="auto"/>
          <w:sz w:val="28"/>
          <w:szCs w:val="28"/>
        </w:rPr>
        <w:t xml:space="preserve"> года по </w:t>
      </w:r>
      <w:r>
        <w:rPr>
          <w:rFonts w:hint="default"/>
          <w:color w:val="auto"/>
          <w:sz w:val="28"/>
          <w:szCs w:val="28"/>
          <w:lang w:val="ru-RU"/>
        </w:rPr>
        <w:t xml:space="preserve">14</w:t>
      </w:r>
      <w:r>
        <w:rPr>
          <w:color w:val="auto"/>
          <w:sz w:val="28"/>
          <w:szCs w:val="28"/>
        </w:rPr>
        <w:t xml:space="preserve"> ноября 202</w:t>
      </w:r>
      <w:r>
        <w:rPr>
          <w:rFonts w:hint="default"/>
          <w:color w:val="auto"/>
          <w:sz w:val="28"/>
          <w:szCs w:val="28"/>
          <w:lang w:val="ru-RU"/>
        </w:rPr>
        <w:t xml:space="preserve">5</w:t>
      </w:r>
      <w:r>
        <w:rPr>
          <w:color w:val="auto"/>
          <w:sz w:val="28"/>
          <w:szCs w:val="28"/>
        </w:rPr>
        <w:t xml:space="preserve"> года.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1.5. Исполнительной орган Белгородской области – составитель отчета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об оценке фактического воздействия (орган – разработчик): министерство сельского хозяйства и продовольствия Белгородской области. 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1.6. Контактная информация об исполнителе в органе-разработчике: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/>
      <w:bookmarkStart w:id="1" w:name="_Hlk125630251"/>
      <w:r>
        <w:rPr>
          <w:rFonts w:eastAsia="Calibri"/>
          <w:color w:val="auto"/>
          <w:sz w:val="28"/>
          <w:szCs w:val="28"/>
          <w:lang w:eastAsia="en-US"/>
        </w:rPr>
        <w:t xml:space="preserve">Тарасова Наталья Ивановна</w:t>
      </w:r>
      <w:r>
        <w:rPr>
          <w:color w:val="auto"/>
          <w:sz w:val="28"/>
          <w:szCs w:val="28"/>
        </w:rPr>
        <w:t xml:space="preserve"> – заместитель начальника </w:t>
      </w:r>
      <w:r>
        <w:rPr>
          <w:color w:val="auto"/>
          <w:sz w:val="28"/>
          <w:szCs w:val="28"/>
          <w:lang w:val="ru-RU"/>
        </w:rPr>
        <w:t xml:space="preserve">департамента</w:t>
      </w:r>
      <w:r>
        <w:rPr>
          <w:rFonts w:hint="default"/>
          <w:color w:val="auto"/>
          <w:sz w:val="28"/>
          <w:szCs w:val="28"/>
          <w:lang w:val="ru-RU"/>
        </w:rPr>
        <w:t xml:space="preserve"> - начальник </w:t>
      </w:r>
      <w:r>
        <w:rPr>
          <w:color w:val="auto"/>
          <w:sz w:val="28"/>
          <w:szCs w:val="28"/>
        </w:rPr>
        <w:t xml:space="preserve">отдела регионального контроля департамента потребительского рынка министерства сельского хозяйства и продовольствия Белгородской области.</w:t>
      </w:r>
      <w:r/>
    </w:p>
    <w:p>
      <w:pPr>
        <w:ind w:firstLine="709"/>
        <w:jc w:val="both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t xml:space="preserve">Тел.: (4722) </w:t>
      </w:r>
      <w:r>
        <w:rPr>
          <w:rFonts w:hint="default"/>
          <w:color w:val="auto"/>
          <w:sz w:val="28"/>
          <w:szCs w:val="28"/>
          <w:lang w:val="ru-RU"/>
        </w:rPr>
        <w:t xml:space="preserve">24</w:t>
      </w:r>
      <w:r>
        <w:rPr>
          <w:color w:val="auto"/>
          <w:sz w:val="28"/>
          <w:szCs w:val="28"/>
        </w:rPr>
        <w:t xml:space="preserve">-</w:t>
      </w:r>
      <w:r>
        <w:rPr>
          <w:rFonts w:hint="default"/>
          <w:color w:val="auto"/>
          <w:sz w:val="28"/>
          <w:szCs w:val="28"/>
          <w:lang w:val="ru-RU"/>
        </w:rPr>
        <w:t xml:space="preserve">76</w:t>
      </w:r>
      <w:r>
        <w:rPr>
          <w:color w:val="auto"/>
          <w:sz w:val="28"/>
          <w:szCs w:val="28"/>
        </w:rPr>
        <w:t xml:space="preserve">-</w:t>
      </w:r>
      <w:r>
        <w:rPr>
          <w:rFonts w:hint="default"/>
          <w:color w:val="auto"/>
          <w:sz w:val="28"/>
          <w:szCs w:val="28"/>
          <w:lang w:val="ru-RU"/>
        </w:rPr>
        <w:t xml:space="preserve">33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Адрес электронной почты: </w:t>
      </w:r>
      <w:r>
        <w:rPr>
          <w:color w:val="auto"/>
          <w:sz w:val="28"/>
          <w:szCs w:val="28"/>
          <w:lang w:val="en-US"/>
        </w:rPr>
        <w:t xml:space="preserve">tarasova</w:t>
      </w:r>
      <w:r>
        <w:rPr>
          <w:rFonts w:hint="default"/>
          <w:color w:val="auto"/>
          <w:sz w:val="28"/>
          <w:szCs w:val="28"/>
          <w:lang w:val="ru-RU"/>
        </w:rPr>
        <w:t xml:space="preserve">_niv</w:t>
      </w:r>
      <w:r>
        <w:rPr>
          <w:color w:val="auto"/>
        </w:rPr>
        <w:fldChar w:fldCharType="begin"/>
      </w:r>
      <w:r>
        <w:rPr>
          <w:color w:val="auto"/>
          <w:sz w:val="28"/>
          <w:szCs w:val="28"/>
        </w:rPr>
        <w:instrText xml:space="preserve"> HYPERLINK "mailto:pas@belapk.ru" </w:instrText>
      </w:r>
      <w:r>
        <w:rPr>
          <w:color w:val="auto"/>
        </w:rPr>
        <w:fldChar w:fldCharType="separate"/>
      </w:r>
      <w:r>
        <w:rPr>
          <w:rStyle w:val="666"/>
          <w:color w:val="auto"/>
          <w:sz w:val="28"/>
          <w:szCs w:val="28"/>
        </w:rPr>
        <w:t xml:space="preserve">@bel</w:t>
      </w:r>
      <w:r>
        <w:rPr>
          <w:rStyle w:val="666"/>
          <w:rFonts w:hint="default"/>
          <w:color w:val="auto"/>
          <w:sz w:val="28"/>
          <w:szCs w:val="28"/>
          <w:lang w:val="ru-RU"/>
        </w:rPr>
        <w:t xml:space="preserve">region</w:t>
      </w:r>
      <w:r>
        <w:rPr>
          <w:rStyle w:val="666"/>
          <w:color w:val="auto"/>
          <w:sz w:val="28"/>
          <w:szCs w:val="28"/>
        </w:rPr>
        <w:t xml:space="preserve">.ru</w:t>
      </w:r>
      <w:r>
        <w:rPr>
          <w:rStyle w:val="666"/>
          <w:color w:val="auto"/>
          <w:sz w:val="28"/>
          <w:szCs w:val="28"/>
        </w:rPr>
        <w:fldChar w:fldCharType="end"/>
      </w:r>
      <w:r>
        <w:rPr>
          <w:color w:val="auto"/>
          <w:sz w:val="28"/>
          <w:szCs w:val="28"/>
        </w:rPr>
        <w:t xml:space="preserve">.</w:t>
      </w:r>
      <w:r/>
    </w:p>
    <w:p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2. Результаты проведения оценки регулирующего воздействия </w:t>
      </w:r>
      <w:r>
        <w:rPr>
          <w:bCs/>
          <w:color w:val="auto"/>
          <w:sz w:val="28"/>
          <w:szCs w:val="28"/>
        </w:rPr>
        <w:br/>
      </w:r>
      <w:r>
        <w:rPr>
          <w:bCs/>
          <w:color w:val="auto"/>
          <w:sz w:val="28"/>
          <w:szCs w:val="28"/>
        </w:rPr>
        <w:t xml:space="preserve">в отношении проекта акта (при наличии):</w:t>
      </w:r>
      <w:r/>
    </w:p>
    <w:p>
      <w:pPr>
        <w:ind w:firstLine="709"/>
        <w:jc w:val="both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t xml:space="preserve">2.1. </w:t>
      </w:r>
      <w:r>
        <w:rPr>
          <w:bCs/>
          <w:color w:val="auto"/>
          <w:sz w:val="28"/>
          <w:szCs w:val="28"/>
        </w:rPr>
        <w:t xml:space="preserve">Сроки проведения публичного обсуждения проекта нормативного правового акта</w:t>
      </w:r>
      <w:r>
        <w:rPr>
          <w:color w:val="auto"/>
          <w:sz w:val="28"/>
          <w:szCs w:val="28"/>
        </w:rPr>
        <w:t xml:space="preserve">: с 2</w:t>
      </w:r>
      <w:r>
        <w:rPr>
          <w:rFonts w:hint="default"/>
          <w:color w:val="auto"/>
          <w:sz w:val="28"/>
          <w:szCs w:val="28"/>
          <w:lang w:val="ru-RU"/>
        </w:rPr>
        <w:t xml:space="preserve">0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мая</w:t>
      </w:r>
      <w:r>
        <w:rPr>
          <w:color w:val="auto"/>
          <w:sz w:val="28"/>
          <w:szCs w:val="28"/>
        </w:rPr>
        <w:t xml:space="preserve"> 20</w:t>
      </w:r>
      <w:r>
        <w:rPr>
          <w:rFonts w:hint="default"/>
          <w:color w:val="auto"/>
          <w:sz w:val="28"/>
          <w:szCs w:val="28"/>
          <w:lang w:val="ru-RU"/>
        </w:rPr>
        <w:t xml:space="preserve">22</w:t>
      </w:r>
      <w:r>
        <w:rPr>
          <w:color w:val="auto"/>
          <w:sz w:val="28"/>
          <w:szCs w:val="28"/>
        </w:rPr>
        <w:t xml:space="preserve"> года по </w:t>
      </w:r>
      <w:r>
        <w:rPr>
          <w:rFonts w:hint="default"/>
          <w:color w:val="auto"/>
          <w:sz w:val="28"/>
          <w:szCs w:val="28"/>
          <w:lang w:val="ru-RU"/>
        </w:rPr>
      </w:r>
      <w:r>
        <w:rPr>
          <w:color w:val="auto"/>
          <w:sz w:val="28"/>
          <w:szCs w:val="28"/>
        </w:rPr>
      </w:r>
      <w:r>
        <w:rPr>
          <w:rFonts w:hint="default"/>
          <w:color w:val="auto"/>
          <w:sz w:val="28"/>
          <w:szCs w:val="28"/>
          <w:lang w:val="ru-RU"/>
        </w:rPr>
        <w:t xml:space="preserve">2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июня</w:t>
      </w:r>
      <w:r>
        <w:rPr>
          <w:color w:val="auto"/>
          <w:sz w:val="28"/>
          <w:szCs w:val="28"/>
        </w:rPr>
        <w:t xml:space="preserve"> 202</w:t>
      </w:r>
      <w:r>
        <w:rPr>
          <w:rFonts w:hint="default"/>
          <w:color w:val="auto"/>
          <w:sz w:val="28"/>
          <w:szCs w:val="28"/>
          <w:lang w:val="ru-RU"/>
        </w:rPr>
        <w:t xml:space="preserve">2</w:t>
      </w:r>
      <w:r>
        <w:rPr>
          <w:color w:val="auto"/>
          <w:sz w:val="28"/>
          <w:szCs w:val="28"/>
        </w:rPr>
        <w:t xml:space="preserve"> года.</w:t>
      </w:r>
      <w:r/>
      <w:r/>
      <w:r>
        <w:rPr>
          <w:rFonts w:hint="default"/>
          <w:color w:val="auto"/>
          <w:sz w:val="28"/>
          <w:szCs w:val="28"/>
          <w:lang w:val="ru-RU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 Исполнительный орган Белгородской области – составитель отчета об оценке регулирующего воздействия:</w:t>
      </w:r>
      <w:bookmarkEnd w:id="1"/>
      <w:r>
        <w:rPr>
          <w:color w:val="auto"/>
          <w:sz w:val="28"/>
          <w:szCs w:val="28"/>
        </w:rPr>
        <w:t xml:space="preserve"> министерство сельского хозяйства и продовольствия Белгородской области.</w:t>
      </w:r>
      <w:r/>
    </w:p>
    <w:p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 xml:space="preserve">2.3 Сведения о лицах, представивших предложения: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</w:rPr>
        <w:t xml:space="preserve"> Уполномоченный по защите прав предпринимателей в Белгородской области,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 xml:space="preserve">Уполномоченный по правам человека в Белгородской области</w:t>
      </w:r>
      <w:r>
        <w:rPr>
          <w:rFonts w:hint="default" w:eastAsia="Calibri"/>
          <w:color w:val="auto"/>
          <w:sz w:val="28"/>
          <w:szCs w:val="28"/>
          <w:lang w:val="ru-RU" w:eastAsia="en-US"/>
        </w:rPr>
        <w:t xml:space="preserve">, 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 xml:space="preserve">Союз «Белгородская </w:t>
      </w:r>
      <w:r>
        <w:rPr>
          <w:rFonts w:eastAsia="Calibri"/>
          <w:color w:val="auto"/>
          <w:sz w:val="28"/>
          <w:szCs w:val="28"/>
          <w:lang w:val="ru-RU" w:eastAsia="en-US"/>
        </w:rPr>
        <w:t xml:space="preserve">т</w:t>
      </w:r>
      <w:r>
        <w:rPr>
          <w:rFonts w:eastAsia="Calibri"/>
          <w:color w:val="auto"/>
          <w:sz w:val="28"/>
          <w:szCs w:val="28"/>
          <w:lang w:eastAsia="en-US"/>
        </w:rPr>
        <w:t xml:space="preserve">оргово-промышленная палата»</w:t>
      </w:r>
      <w:r>
        <w:rPr>
          <w:rFonts w:hint="default" w:eastAsia="Calibri"/>
          <w:color w:val="auto"/>
          <w:sz w:val="28"/>
          <w:szCs w:val="28"/>
          <w:lang w:val="ru-RU" w:eastAsia="en-US"/>
        </w:rPr>
        <w:t xml:space="preserve">,  </w:t>
      </w:r>
      <w:r>
        <w:rPr>
          <w:rFonts w:eastAsia="Calibri"/>
          <w:color w:val="auto"/>
          <w:sz w:val="28"/>
          <w:szCs w:val="28"/>
          <w:lang w:eastAsia="en-US"/>
        </w:rPr>
        <w:t xml:space="preserve"> Белгородская региональная общественная организация «Центр социальных инициатив «Вера»</w:t>
      </w:r>
      <w:r>
        <w:rPr>
          <w:rFonts w:hint="default" w:eastAsia="Calibri"/>
          <w:color w:val="auto"/>
          <w:sz w:val="28"/>
          <w:szCs w:val="28"/>
          <w:lang w:val="ru-RU" w:eastAsia="en-US"/>
        </w:rPr>
        <w:t xml:space="preserve">, </w:t>
      </w:r>
      <w:r>
        <w:rPr>
          <w:rFonts w:eastAsia="Calibri"/>
          <w:color w:val="auto"/>
          <w:sz w:val="28"/>
          <w:szCs w:val="28"/>
          <w:lang w:eastAsia="en-US"/>
        </w:rPr>
        <w:t xml:space="preserve"> Ассоциация Белгородских розничных сетей</w:t>
      </w:r>
      <w:r>
        <w:rPr>
          <w:rFonts w:hint="default" w:eastAsia="Calibri"/>
          <w:color w:val="auto"/>
          <w:sz w:val="28"/>
          <w:szCs w:val="28"/>
          <w:lang w:val="ru-RU" w:eastAsia="en-US"/>
        </w:rPr>
        <w:t xml:space="preserve">, </w:t>
      </w:r>
      <w:r>
        <w:rPr>
          <w:rFonts w:eastAsia="Calibri"/>
          <w:color w:val="auto"/>
          <w:sz w:val="28"/>
          <w:szCs w:val="28"/>
          <w:lang w:eastAsia="en-US"/>
        </w:rPr>
        <w:t xml:space="preserve"> Ассоциация производителей пива</w:t>
      </w:r>
      <w:r>
        <w:rPr>
          <w:rFonts w:hint="default" w:eastAsia="Calibri"/>
          <w:color w:val="auto"/>
          <w:sz w:val="28"/>
          <w:szCs w:val="28"/>
          <w:lang w:val="ru-RU" w:eastAsia="en-US"/>
        </w:rPr>
        <w:t xml:space="preserve">, </w:t>
      </w:r>
      <w:r>
        <w:rPr>
          <w:rFonts w:eastAsia="Calibri"/>
          <w:color w:val="auto"/>
          <w:sz w:val="28"/>
          <w:szCs w:val="28"/>
          <w:lang w:eastAsia="en-US"/>
        </w:rPr>
        <w:t xml:space="preserve"> АО «Тандер»</w:t>
      </w:r>
      <w:r>
        <w:rPr>
          <w:rFonts w:hint="default" w:eastAsia="Calibri"/>
          <w:color w:val="auto"/>
          <w:sz w:val="28"/>
          <w:szCs w:val="28"/>
          <w:lang w:val="ru-RU" w:eastAsia="en-US"/>
        </w:rPr>
        <w:t xml:space="preserve"> («Магнит»), </w:t>
      </w:r>
      <w:r>
        <w:rPr>
          <w:rFonts w:eastAsia="Calibri"/>
          <w:color w:val="auto"/>
          <w:sz w:val="28"/>
          <w:szCs w:val="28"/>
          <w:lang w:eastAsia="en-US"/>
        </w:rPr>
        <w:t xml:space="preserve"> Координационный Совет организаций профсоюзов города Белгорода</w:t>
      </w:r>
      <w:r>
        <w:rPr>
          <w:rFonts w:hint="default" w:eastAsia="Calibri"/>
          <w:color w:val="auto"/>
          <w:sz w:val="28"/>
          <w:szCs w:val="28"/>
          <w:lang w:val="ru-RU" w:eastAsia="en-US"/>
        </w:rPr>
        <w:t xml:space="preserve">, 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</w:rPr>
        <w:t xml:space="preserve">Ассоциация рынков и ярмарок Белгородской области</w:t>
      </w:r>
      <w:r>
        <w:rPr>
          <w:rFonts w:hint="default"/>
          <w:color w:val="auto"/>
          <w:sz w:val="28"/>
          <w:szCs w:val="28"/>
          <w:lang w:val="ru-RU"/>
        </w:rPr>
        <w:t xml:space="preserve">, </w:t>
      </w:r>
      <w:r>
        <w:rPr>
          <w:color w:val="auto"/>
          <w:sz w:val="28"/>
          <w:szCs w:val="28"/>
        </w:rPr>
        <w:t xml:space="preserve"> БРОО «Скорая Молодежная Помощь».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2.4. Сведения о структурных подразделениях органа-разработчика, рассмотревших представленные предложения: отдел </w:t>
      </w:r>
      <w:r>
        <w:rPr>
          <w:color w:val="auto"/>
          <w:sz w:val="28"/>
          <w:szCs w:val="28"/>
          <w:lang w:val="ru-RU"/>
        </w:rPr>
        <w:t xml:space="preserve">регионального</w:t>
      </w:r>
      <w:r>
        <w:rPr>
          <w:rFonts w:hint="default"/>
          <w:color w:val="auto"/>
          <w:sz w:val="28"/>
          <w:szCs w:val="28"/>
          <w:lang w:val="ru-RU"/>
        </w:rPr>
        <w:t xml:space="preserve"> контроля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департамента</w:t>
      </w:r>
      <w:r>
        <w:rPr>
          <w:color w:val="auto"/>
          <w:sz w:val="28"/>
          <w:szCs w:val="28"/>
        </w:rPr>
        <w:t xml:space="preserve"> потребительского рынка </w:t>
      </w:r>
      <w:r>
        <w:rPr>
          <w:color w:val="auto"/>
          <w:sz w:val="28"/>
          <w:szCs w:val="28"/>
          <w:lang w:val="ru-RU"/>
        </w:rPr>
        <w:t xml:space="preserve">министерства</w:t>
      </w:r>
      <w:r>
        <w:rPr>
          <w:rFonts w:hint="default"/>
          <w:color w:val="auto"/>
          <w:sz w:val="28"/>
          <w:szCs w:val="28"/>
          <w:lang w:val="ru-RU"/>
        </w:rPr>
        <w:t xml:space="preserve"> сельского хозяйства и продовольствия Белгородской </w:t>
      </w:r>
      <w:r>
        <w:rPr>
          <w:color w:val="auto"/>
          <w:sz w:val="28"/>
          <w:szCs w:val="28"/>
        </w:rPr>
        <w:t xml:space="preserve">области.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2.5. Полный электронный адрес размещения документов по оценке регулирующего воздействия проекта нормативного правового акта на официальном сайте:</w:t>
      </w:r>
      <w:r/>
    </w:p>
    <w:p>
      <w:pPr>
        <w:ind w:firstLine="709"/>
        <w:jc w:val="both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t xml:space="preserve">- министерства экономического развития и промышленности области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 xml:space="preserve">(</w:t>
      </w:r>
      <w:r>
        <w:rPr>
          <w:rFonts w:eastAsia="Calibri"/>
          <w:color w:val="auto"/>
          <w:sz w:val="28"/>
          <w:szCs w:val="28"/>
          <w:lang w:eastAsia="en-US"/>
        </w:rPr>
        <w:t xml:space="preserve">http://minecprom.belregion.ru/deyatelnost/ocenka-reguliruyushego-vozdejstviya/publichnye-konsultacii/ocenka-reguliruyushego-vo4viya-3434proekta-zakona/</w:t>
      </w:r>
      <w:r>
        <w:rPr>
          <w:rFonts w:eastAsia="Calibri"/>
          <w:color w:val="auto"/>
          <w:sz w:val="28"/>
          <w:szCs w:val="28"/>
          <w:lang w:eastAsia="en-US"/>
        </w:rPr>
        <w:t xml:space="preserve">)</w:t>
      </w:r>
      <w:r>
        <w:rPr>
          <w:rFonts w:hint="default" w:eastAsia="Calibri"/>
          <w:color w:val="auto"/>
          <w:sz w:val="28"/>
          <w:szCs w:val="28"/>
          <w:lang w:val="ru-RU" w:eastAsia="en-US"/>
        </w:rPr>
        <w:t xml:space="preserve">;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hint="default" w:eastAsia="Calibri"/>
          <w:color w:val="auto"/>
          <w:sz w:val="28"/>
          <w:szCs w:val="28"/>
          <w:lang w:val="ru-RU" w:eastAsia="en-US"/>
        </w:rPr>
        <w:t xml:space="preserve">- </w:t>
      </w:r>
      <w:r>
        <w:rPr>
          <w:rFonts w:eastAsia="Calibri"/>
          <w:color w:val="auto"/>
          <w:sz w:val="28"/>
          <w:szCs w:val="28"/>
          <w:lang w:eastAsia="en-US"/>
        </w:rPr>
        <w:t xml:space="preserve">министерства сельского хозяйства и продовольствия Белгородской области (http://belapk.ru/dokumenty/ocenka-reguliruyushego-vozdejstviya/)</w:t>
      </w:r>
      <w:r>
        <w:rPr>
          <w:rFonts w:hint="default" w:eastAsia="Calibri"/>
          <w:color w:val="auto"/>
          <w:sz w:val="28"/>
          <w:szCs w:val="28"/>
          <w:lang w:val="ru-RU" w:eastAsia="en-US"/>
        </w:rPr>
        <w:t xml:space="preserve">;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 на Инвестиционном портале Белгородской области </w:t>
      </w:r>
      <w:r>
        <w:rPr>
          <w:rFonts w:eastAsia="Calibri"/>
          <w:color w:val="auto"/>
          <w:sz w:val="28"/>
          <w:szCs w:val="28"/>
          <w:lang w:eastAsia="en-US"/>
        </w:rPr>
        <w:t xml:space="preserve">(https://belgorodinvest.com/docs/otsenka-reguliruyushchego-vozdeystviya/#tab-197</w:t>
      </w:r>
      <w:r>
        <w:rPr>
          <w:color w:val="auto"/>
          <w:sz w:val="28"/>
          <w:szCs w:val="28"/>
        </w:rPr>
        <w:t xml:space="preserve">).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 Иные сведения о проведении публичного обсуждения проекта нормативного правового акта: отсутствуют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2.7. Дата и реквизиты заключения об оценке регулирующего воздействия проекта нормативного правового акта: заключение министерства экономического развития и промышленности Белгородской области  от </w:t>
      </w:r>
      <w:r>
        <w:rPr>
          <w:rFonts w:hint="default"/>
          <w:color w:val="auto"/>
          <w:sz w:val="28"/>
          <w:szCs w:val="28"/>
          <w:lang w:val="ru-RU"/>
        </w:rPr>
        <w:t xml:space="preserve">07 июня</w:t>
      </w:r>
      <w:r>
        <w:rPr>
          <w:color w:val="auto"/>
          <w:sz w:val="28"/>
          <w:szCs w:val="28"/>
        </w:rPr>
        <w:t xml:space="preserve"> 202</w:t>
      </w:r>
      <w:r>
        <w:rPr>
          <w:rFonts w:hint="default"/>
          <w:color w:val="auto"/>
          <w:sz w:val="28"/>
          <w:szCs w:val="28"/>
          <w:lang w:val="ru-RU"/>
        </w:rPr>
        <w:t xml:space="preserve">2</w:t>
      </w:r>
      <w:r>
        <w:rPr>
          <w:color w:val="auto"/>
          <w:sz w:val="28"/>
          <w:szCs w:val="28"/>
        </w:rPr>
        <w:t xml:space="preserve"> года.</w:t>
      </w:r>
      <w:r/>
    </w:p>
    <w:p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3. Результаты проведения предыдущих оценок фактического воздействия нормативного правового акта (при наличии): не проводились.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Сроки проведения публичного обсуждения нормативного правового акта: не проводились.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 Исполнительный орган Белгородской области – составитель отчета об оценке фактического воздействия: -</w:t>
      </w:r>
      <w:r/>
    </w:p>
    <w:p>
      <w:pPr>
        <w:ind w:firstLine="709"/>
        <w:jc w:val="both"/>
        <w:rPr>
          <w:rFonts w:eastAsia="Calibri"/>
          <w:b/>
          <w:bCs/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 xml:space="preserve">3.3. Контактная информация об исполнителе в органе-разработчике: -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 Дата и реквизиты заключения об оценке фактического воздействия нормативного правового акта: -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Полный электронный адрес размещения документов по оценке фактического воздействия нормативного правового акта: -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Сравнительный анализ установленных в сводном отчете прогнозных показателей (индикаторов) достижения целей и их фактических значений:</w:t>
      </w:r>
      <w:r/>
    </w:p>
    <w:p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</w:r>
      <w:r/>
    </w:p>
    <w:tbl>
      <w:tblPr>
        <w:tblStyle w:val="876"/>
        <w:tblW w:w="101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50"/>
        <w:gridCol w:w="1701"/>
        <w:gridCol w:w="1559"/>
        <w:gridCol w:w="1701"/>
        <w:gridCol w:w="2268"/>
        <w:gridCol w:w="967"/>
      </w:tblGrid>
      <w:tr>
        <w:trPr/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 xml:space="preserve">Цель регулиро-вания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Показатели достижения целей регулирова-ния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Способ расчета показателя (индикато-ра)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Значение </w:t>
            </w:r>
            <w:r/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до введения </w:t>
            </w:r>
            <w:r/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правового регулирова-ния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Текущее значение</w:t>
            </w:r>
            <w:r/>
          </w:p>
        </w:tc>
        <w:tc>
          <w:tcPr>
            <w:tcW w:w="967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Плановое значе-ние</w:t>
            </w:r>
            <w:r/>
          </w:p>
        </w:tc>
      </w:tr>
      <w:tr>
        <w:trPr>
          <w:trHeight w:val="572"/>
        </w:trPr>
        <w:tc>
          <w:tcPr>
            <w:tcW w:w="1950" w:type="dxa"/>
            <w:textDirection w:val="lrTb"/>
            <w:noWrap w:val="false"/>
          </w:tcPr>
          <w:p>
            <w:pPr>
              <w:rPr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Снижение</w:t>
            </w:r>
            <w:r>
              <w:rPr>
                <w:rFonts w:hint="default" w:eastAsia="Calibri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доступности алкогольной</w:t>
            </w:r>
            <w:r>
              <w:rPr>
                <w:rFonts w:hint="default" w:eastAsia="Calibri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продукции для учеников старших классов общеобразовате-льных организаций и взрослого населения муниципальных образований области, а также дополнительная безопасность в период проведения в муниципальных общеобразовате-льных организациях школьных мероприятий «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Последний звонок</w:t>
            </w:r>
            <w:r>
              <w:rPr>
                <w:rFonts w:hint="default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»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, выпускных праздничных мероприятий, посвящ</w:t>
            </w:r>
            <w:r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ё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нных окончанию школы,</w:t>
            </w:r>
            <w:r>
              <w:rPr>
                <w:rFonts w:hint="default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 условиях приоритетности защиты жизни и здоровья граждан.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hint="default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Снижение количества правонаруше-ний, связан-ных с употреблением алкогольной продукции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Кол-ый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Согласно данным межведомствен-ной комиссии по профилактике правонаруше-ний в Белгородской области в </w:t>
            </w:r>
            <w:r>
              <w:rPr>
                <w:sz w:val="22"/>
                <w:szCs w:val="22"/>
                <w:highlight w:val="none"/>
              </w:rPr>
              <w:t xml:space="preserve">2021 году</w:t>
            </w:r>
            <w:r>
              <w:rPr>
                <w:sz w:val="22"/>
                <w:szCs w:val="22"/>
                <w:highlight w:val="none"/>
              </w:rPr>
              <w:t xml:space="preserve"> лицами, находящимися в состоянии алкогольного опьянения</w:t>
            </w:r>
            <w:r>
              <w:rPr>
                <w:sz w:val="22"/>
                <w:szCs w:val="22"/>
                <w:highlight w:val="none"/>
              </w:rPr>
              <w:t xml:space="preserve"> совершенно  2049 преступлений, более 100 из которых, совершены подростками.</w:t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spacing w:before="0" w:after="180"/>
              <w:rPr>
                <w:sz w:val="22"/>
                <w:szCs w:val="22"/>
              </w:rPr>
              <w:pBdr>
                <w:top w:val="single" w:color="EEEEEE" w:sz="0" w:space="0"/>
                <w:left w:val="single" w:color="EEEEEE" w:sz="0" w:space="0"/>
                <w:bottom w:val="single" w:color="EEEEEE" w:sz="0" w:space="0"/>
                <w:right w:val="single" w:color="EEEEEE" w:sz="0" w:space="0"/>
              </w:pBdr>
            </w:pPr>
            <w:r>
              <w:rPr>
                <w:sz w:val="22"/>
                <w:szCs w:val="22"/>
                <w:highlight w:val="none"/>
              </w:rPr>
              <w:t xml:space="preserve">В 2024 году </w:t>
            </w:r>
            <w:r>
              <w:rPr>
                <w:sz w:val="22"/>
                <w:szCs w:val="22"/>
              </w:rPr>
              <w:t xml:space="preserve">по сравнению с 2023 годом по статье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</w:rPr>
              <w:t xml:space="preserve">20.22 КоАП РФ (нахождение в состоянии опьянения) на 7,6 % снизилось количество привлечённых к ответственности подростков </w:t>
              <w:br/>
              <w:t xml:space="preserve">(в 2023 г. - 66,              в 2024 г. - 61). </w:t>
            </w:r>
            <w:r>
              <w:rPr>
                <w:sz w:val="22"/>
                <w:szCs w:val="22"/>
              </w:rPr>
            </w:r>
          </w:p>
          <w:p>
            <w:pPr>
              <w:ind w:left="0" w:right="0" w:firstLine="0"/>
              <w:spacing w:before="0" w:after="180"/>
              <w:rPr>
                <w:sz w:val="22"/>
                <w:szCs w:val="22"/>
              </w:rPr>
              <w:pBdr>
                <w:top w:val="single" w:color="EEEEEE" w:sz="0" w:space="0"/>
                <w:left w:val="single" w:color="EEEEEE" w:sz="0" w:space="0"/>
                <w:bottom w:val="single" w:color="EEEEEE" w:sz="0" w:space="0"/>
                <w:right w:val="single" w:color="EEEEEE" w:sz="0" w:space="0"/>
              </w:pBdr>
            </w:pPr>
            <w:r>
              <w:rPr>
                <w:sz w:val="22"/>
                <w:szCs w:val="22"/>
              </w:rPr>
              <w:t xml:space="preserve">По сравнению с 2021 годом, наблюдается снижение на 39 %                   </w:t>
            </w:r>
            <w:r>
              <w:rPr>
                <w:sz w:val="22"/>
                <w:szCs w:val="22"/>
              </w:rPr>
              <w:t xml:space="preserve">(в 2021 г. - 100             </w:t>
            </w:r>
            <w:r>
              <w:rPr>
                <w:sz w:val="22"/>
                <w:szCs w:val="22"/>
              </w:rPr>
              <w:t xml:space="preserve">в 2024 г. - 61).</w:t>
            </w:r>
            <w:r/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96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hint="default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Сниже-ние </w:t>
            </w:r>
            <w:r>
              <w:rPr>
                <w:rFonts w:hint="default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widowControl w:val="off"/>
              <w:rPr>
                <w:rFonts w:hint="default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кол-ва право-нару-шений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</w:tbl>
    <w:p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Источники данных: 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министерства сельского хозяйства и продовольствия Белгородской области.</w:t>
      </w:r>
      <w:r/>
    </w:p>
    <w:p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5. Анализ последствий установленного правового регулирования:</w:t>
      </w:r>
      <w:r/>
    </w:p>
    <w:p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5.1. Анализ фактических положительных и отрицательных последствий установленного правового регулирования:</w:t>
      </w:r>
      <w:r/>
    </w:p>
    <w:p>
      <w:pPr>
        <w:ind w:firstLine="709"/>
        <w:jc w:val="both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</w:r>
      <w:r/>
    </w:p>
    <w:tbl>
      <w:tblPr>
        <w:tblStyle w:val="663"/>
        <w:tblW w:w="10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113"/>
        <w:gridCol w:w="2450"/>
        <w:gridCol w:w="2763"/>
        <w:gridCol w:w="2887"/>
      </w:tblGrid>
      <w:tr>
        <w:trPr/>
        <w:tc>
          <w:tcPr>
            <w:tcW w:w="2113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color w:val="auto"/>
                <w:highlight w:val="yellow"/>
              </w:rPr>
            </w:pPr>
            <w:r>
              <w:rPr>
                <w:b/>
                <w:iCs/>
                <w:color w:val="auto"/>
              </w:rPr>
              <w:t xml:space="preserve">Группы заинтересованных лиц</w:t>
            </w:r>
            <w:r/>
          </w:p>
        </w:tc>
        <w:tc>
          <w:tcPr>
            <w:tcW w:w="2450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Описание прогнозных положительных </w:t>
            </w:r>
            <w:r/>
          </w:p>
          <w:p>
            <w:pPr>
              <w:jc w:val="center"/>
              <w:rPr>
                <w:b/>
                <w:color w:val="auto"/>
                <w:highlight w:val="yellow"/>
              </w:rPr>
            </w:pPr>
            <w:r>
              <w:rPr>
                <w:b/>
                <w:color w:val="auto"/>
              </w:rPr>
              <w:t xml:space="preserve">и отрицательных последствий установленного регулирования </w:t>
            </w:r>
            <w:r/>
          </w:p>
        </w:tc>
        <w:tc>
          <w:tcPr>
            <w:tcW w:w="2763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Описание фактических положительных </w:t>
            </w:r>
            <w:r/>
          </w:p>
          <w:p>
            <w:pPr>
              <w:jc w:val="center"/>
              <w:rPr>
                <w:b/>
                <w:color w:val="auto"/>
                <w:highlight w:val="yellow"/>
              </w:rPr>
            </w:pPr>
            <w:r>
              <w:rPr>
                <w:b/>
                <w:color w:val="auto"/>
              </w:rPr>
              <w:t xml:space="preserve">и отрицательных последствий установленного регулирования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Оценка фактических последствий </w:t>
            </w:r>
            <w:r/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с прогнозными</w:t>
            </w:r>
            <w:r/>
          </w:p>
        </w:tc>
      </w:tr>
      <w:tr>
        <w:trPr/>
        <w:tc>
          <w:tcPr>
            <w:tcW w:w="2113" w:type="dxa"/>
            <w:textDirection w:val="lrTb"/>
            <w:noWrap w:val="false"/>
          </w:tcPr>
          <w:p>
            <w:pPr>
              <w:rPr>
                <w:rFonts w:hint="default"/>
                <w:iCs/>
                <w:color w:val="ff0000"/>
                <w:sz w:val="22"/>
                <w:szCs w:val="22"/>
                <w:highlight w:val="yellow"/>
              </w:rPr>
            </w:pPr>
            <w:r>
              <w:rPr>
                <w:iCs/>
                <w:color w:val="auto"/>
                <w:sz w:val="22"/>
                <w:szCs w:val="22"/>
                <w:lang w:val="ru-RU"/>
              </w:rPr>
              <w:t xml:space="preserve">Организации</w:t>
            </w:r>
            <w:r>
              <w:rPr>
                <w:rFonts w:hint="default"/>
                <w:iCs/>
                <w:color w:val="auto"/>
                <w:sz w:val="22"/>
                <w:szCs w:val="22"/>
                <w:lang w:val="ru-RU"/>
              </w:rPr>
              <w:t xml:space="preserve">, осуществляющие </w:t>
            </w:r>
            <w:r>
              <w:rPr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 xml:space="preserve">розничную продажу</w:t>
            </w:r>
            <w:r>
              <w:rPr>
                <w:rFonts w:hint="default"/>
                <w:bCs/>
                <w:color w:val="auto"/>
                <w:sz w:val="22"/>
                <w:szCs w:val="22"/>
                <w:lang w:val="ru-RU"/>
              </w:rPr>
              <w:t xml:space="preserve"> алкогольной продукции, и и</w:t>
            </w:r>
            <w:r>
              <w:rPr>
                <w:iCs/>
                <w:color w:val="auto"/>
                <w:sz w:val="22"/>
                <w:szCs w:val="22"/>
              </w:rPr>
              <w:t xml:space="preserve">ндивидуальные предприниматели, </w:t>
            </w:r>
            <w:r>
              <w:rPr>
                <w:iCs/>
                <w:color w:val="auto"/>
                <w:sz w:val="22"/>
                <w:szCs w:val="22"/>
                <w:lang w:val="ru-RU"/>
              </w:rPr>
              <w:t xml:space="preserve">осуществляющие</w:t>
            </w:r>
            <w:r>
              <w:rPr>
                <w:rFonts w:hint="default"/>
                <w:iCs/>
                <w:color w:val="auto"/>
                <w:sz w:val="22"/>
                <w:szCs w:val="22"/>
                <w:lang w:val="ru-RU"/>
              </w:rPr>
              <w:t xml:space="preserve"> розничную продажу пива, пивных напитков</w:t>
            </w:r>
            <w:r>
              <w:rPr>
                <w:bCs/>
                <w:color w:val="auto"/>
                <w:sz w:val="22"/>
                <w:szCs w:val="22"/>
              </w:rPr>
              <w:t xml:space="preserve">, сидра, пуаре, медовухи 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 xml:space="preserve">на</w:t>
            </w:r>
            <w:r>
              <w:rPr>
                <w:rFonts w:hint="default"/>
                <w:bCs/>
                <w:color w:val="auto"/>
                <w:sz w:val="22"/>
                <w:szCs w:val="22"/>
                <w:lang w:val="ru-RU"/>
              </w:rPr>
              <w:t xml:space="preserve"> территории муниципальных образований Белгородской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W w:w="2450" w:type="dxa"/>
            <w:textDirection w:val="lrTb"/>
            <w:noWrap w:val="false"/>
          </w:tcPr>
          <w:p>
            <w:pPr>
              <w:rPr>
                <w:rFonts w:hint="default"/>
                <w:b/>
                <w:bCs/>
                <w:i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Положительные последствия:</w:t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- снижение количества правонарушений, связан-ных с употреблением алкогольной продукции среди несовершеннолетних</w:t>
            </w:r>
            <w:r>
              <w:rPr>
                <w:rFonts w:hint="default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hint="default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/>
                <w:color w:val="000000"/>
                <w:sz w:val="22"/>
                <w:szCs w:val="22"/>
                <w:highlight w:val="none"/>
              </w:rPr>
            </w:r>
            <w:r>
              <w:rPr>
                <w:rFonts w:hint="default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b/>
                <w:bCs/>
                <w:i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Отрицательные последствия:</w:t>
            </w:r>
            <w:r>
              <w:rPr>
                <w:rFonts w:hint="default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both"/>
              <w:widowControl w:val="off"/>
              <w:rPr>
                <w:rFonts w:hint="default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- упущенная выгода (выручка) хозяйствующих субъектов</w:t>
            </w:r>
            <w:r>
              <w:rPr>
                <w:rFonts w:hint="default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gridSpan w:val="2"/>
            <w:tcW w:w="565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80"/>
              <w:rPr>
                <w:sz w:val="22"/>
                <w:szCs w:val="22"/>
              </w:rPr>
              <w:pBdr>
                <w:top w:val="single" w:color="EEEEEE" w:sz="0" w:space="0"/>
                <w:left w:val="single" w:color="EEEEEE" w:sz="0" w:space="0"/>
                <w:bottom w:val="single" w:color="EEEEEE" w:sz="0" w:space="0"/>
                <w:right w:val="single" w:color="EEEEEE" w:sz="0" w:space="0"/>
              </w:pBdr>
            </w:pPr>
            <w:r>
              <w:rPr>
                <w:sz w:val="22"/>
                <w:szCs w:val="22"/>
              </w:rPr>
              <w:t xml:space="preserve">Установленные ограничения в сфере розничной продажи алкогольной продукции в дни школьных мероприятий «Последний звонок», выпускных праздничных мероприятий на территории области, направлены на популяризую здорового образа жизни у подростков и уменьшение количества правонарушений среди данной категории граждан.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180"/>
              <w:rPr>
                <w:sz w:val="22"/>
                <w:szCs w:val="22"/>
                <w:highlight w:val="none"/>
              </w:rPr>
              <w:pBdr>
                <w:top w:val="single" w:color="EEEEEE" w:sz="0" w:space="0"/>
                <w:left w:val="single" w:color="EEEEEE" w:sz="0" w:space="0"/>
                <w:bottom w:val="single" w:color="EEEEEE" w:sz="0" w:space="0"/>
                <w:right w:val="single" w:color="EEEEEE" w:sz="0" w:space="0"/>
              </w:pBdr>
            </w:pPr>
            <w:r>
              <w:rPr>
                <w:sz w:val="22"/>
                <w:szCs w:val="22"/>
              </w:rPr>
              <w:t xml:space="preserve">По итогам 2024 года (по сравнению с 2023 годом) на территории Белгородской области сократилось на 17% (с 147 до 122) количество несовершеннолетних лиц, в отношении которых у</w:t>
            </w:r>
            <w:r>
              <w:rPr>
                <w:sz w:val="22"/>
                <w:szCs w:val="22"/>
              </w:rPr>
              <w:t xml:space="preserve">становлена причастность к совершению преступлений и на 2,6% (с 231 до 269) количество совершенных ими преступных деяний. Доля несовершеннолетних участников преступлений от общего количества лиц, совершивших преступления в текущем году, составила 2,4 (2023 </w:t>
            </w:r>
            <w:r>
              <w:rPr>
                <w:sz w:val="22"/>
                <w:szCs w:val="22"/>
              </w:rPr>
              <w:t xml:space="preserve">г. – 2,6). На 12,8% (со 102 до 89) снизилось количество преступлений, совершенных подростками в обществен</w:t>
            </w:r>
            <w:r>
              <w:rPr>
                <w:sz w:val="22"/>
                <w:szCs w:val="22"/>
              </w:rPr>
              <w:t xml:space="preserve">ных местах. Сократилось количество несовершеннолетних, совершивших преступления в составе группы на 24% (с 62 до 47) и на 19% (с 37 до 30) в составе «смешанной» группы. Меньше совершено групповых преступлений (со 174 до 143; 18%), в том числе совместно </w:t>
            </w:r>
            <w:r>
              <w:rPr>
                <w:sz w:val="22"/>
                <w:szCs w:val="22"/>
              </w:rPr>
              <w:t xml:space="preserve">со взрослыми лицами (со 161 до 132; 18%).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hint="default"/>
                <w:b w:val="0"/>
                <w:bCs/>
                <w:i/>
                <w:color w:val="auto"/>
                <w:sz w:val="22"/>
                <w:szCs w:val="22"/>
                <w:highlight w:val="none"/>
                <w:lang w:val="en-US" w:eastAsia="ru-RU"/>
              </w:rPr>
            </w:pPr>
            <w:r>
              <w:rPr>
                <w:rFonts w:hint="default"/>
                <w:b w:val="0"/>
                <w:bCs w:val="0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</w:r>
            <w:r>
              <w:rPr>
                <w:rFonts w:hint="default"/>
                <w:b w:val="0"/>
                <w:bCs w:val="0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</w:r>
          </w:p>
          <w:p>
            <w:pPr>
              <w:jc w:val="both"/>
              <w:spacing w:after="0" w:line="240" w:lineRule="auto"/>
              <w:rPr>
                <w:rFonts w:hint="default"/>
                <w:b w:val="0"/>
                <w:bCs w:val="0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Упущенная выгода </w:t>
            </w:r>
            <w:r>
              <w:rPr>
                <w:rFonts w:ascii="Times New Roman" w:hAnsi="Times New Roman" w:eastAsia="Times New Roman"/>
                <w:i/>
                <w:iCs/>
                <w:color w:val="auto"/>
                <w:sz w:val="22"/>
                <w:szCs w:val="22"/>
                <w:highlight w:val="none"/>
                <w:lang w:eastAsia="ru-RU"/>
              </w:rPr>
              <w:t xml:space="preserve">(выручка) в 2025 году </w:t>
            </w:r>
            <w:r>
              <w:rPr>
                <w:rFonts w:ascii="Times New Roman" w:hAnsi="Times New Roman" w:eastAsia="Times New Roman"/>
                <w:i/>
                <w:iCs/>
                <w:sz w:val="22"/>
                <w:szCs w:val="22"/>
                <w:highlight w:val="none"/>
                <w:lang w:eastAsia="ru-RU"/>
              </w:rPr>
              <w:t xml:space="preserve">хозяйствующих субъектов,</w:t>
            </w:r>
            <w:r>
              <w:rPr>
                <w:rFonts w:hint="default" w:ascii="Times New Roman" w:hAnsi="Times New Roman" w:eastAsia="Times New Roman"/>
                <w:i/>
                <w:iCs/>
                <w:sz w:val="22"/>
                <w:szCs w:val="22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iCs/>
                <w:sz w:val="22"/>
                <w:szCs w:val="22"/>
                <w:highlight w:val="none"/>
                <w:lang w:eastAsia="ru-RU"/>
              </w:rPr>
              <w:t xml:space="preserve">а</w:t>
            </w:r>
            <w:r>
              <w:rPr>
                <w:rFonts w:hint="default" w:ascii="Times New Roman" w:hAnsi="Times New Roman" w:eastAsia="Times New Roman"/>
                <w:i/>
                <w:iCs/>
                <w:sz w:val="22"/>
                <w:szCs w:val="22"/>
                <w:highlight w:val="none"/>
                <w:lang w:val="en-US" w:eastAsia="ru-RU"/>
              </w:rPr>
              <w:t xml:space="preserve"> именно</w:t>
            </w:r>
            <w:r>
              <w:rPr>
                <w:rFonts w:hint="default"/>
                <w:i/>
                <w:iCs/>
                <w:sz w:val="22"/>
                <w:szCs w:val="22"/>
                <w:highlight w:val="none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287</w:t>
            </w:r>
            <w:r>
              <w:rPr>
                <w:rFonts w:ascii="Times New Roman" w:hAnsi="Times New Roman" w:eastAsia="Times New Roman"/>
                <w:i/>
                <w:iCs/>
                <w:color w:val="auto"/>
                <w:sz w:val="22"/>
                <w:szCs w:val="22"/>
                <w:highlight w:val="none"/>
                <w:lang w:eastAsia="ru-RU"/>
              </w:rPr>
              <w:t xml:space="preserve"> организациями</w:t>
            </w:r>
            <w:r>
              <w:rPr>
                <w:rFonts w:hint="default" w:ascii="Times New Roman" w:hAnsi="Times New Roman" w:eastAsia="Times New Roman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, осуществляющими р</w:t>
            </w:r>
            <w:r>
              <w:rPr>
                <w:rFonts w:ascii="Times New Roman" w:hAnsi="Times New Roman" w:eastAsia="Times New Roman"/>
                <w:i/>
                <w:iCs/>
                <w:color w:val="auto"/>
                <w:sz w:val="22"/>
                <w:szCs w:val="22"/>
                <w:highlight w:val="none"/>
                <w:lang w:eastAsia="ru-RU"/>
              </w:rPr>
              <w:t xml:space="preserve">озничную продажу алкогольной продукции и </w:t>
            </w:r>
            <w:r>
              <w:rPr>
                <w:rFonts w:hint="default" w:ascii="Times New Roman" w:hAnsi="Times New Roman" w:eastAsia="Times New Roman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2007</w:t>
            </w:r>
            <w:r>
              <w:rPr>
                <w:rFonts w:ascii="Times New Roman" w:hAnsi="Times New Roman" w:eastAsia="Times New Roman"/>
                <w:i/>
                <w:iCs/>
                <w:color w:val="auto"/>
                <w:sz w:val="22"/>
                <w:szCs w:val="22"/>
                <w:highlight w:val="none"/>
                <w:lang w:eastAsia="ru-RU"/>
              </w:rPr>
              <w:t xml:space="preserve"> ю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none"/>
              </w:rPr>
              <w:t xml:space="preserve">ридически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none"/>
                <w:lang w:val="ru-RU"/>
              </w:rPr>
              <w:t xml:space="preserve">ми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none"/>
              </w:rPr>
              <w:t xml:space="preserve"> лиц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none"/>
                <w:lang w:val="ru-RU"/>
              </w:rPr>
              <w:t xml:space="preserve">ами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none"/>
              </w:rPr>
              <w:t xml:space="preserve"> и индивидуальны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none"/>
                <w:lang w:val="ru-RU"/>
              </w:rPr>
              <w:t xml:space="preserve">ми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none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none"/>
                <w:lang w:val="ru-RU"/>
              </w:rPr>
              <w:t xml:space="preserve">ями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highlight w:val="none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none"/>
              </w:rPr>
              <w:t xml:space="preserve">осуществляющи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none"/>
                <w:lang w:val="ru-RU"/>
              </w:rPr>
              <w:t xml:space="preserve">ми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none"/>
              </w:rPr>
              <w:t xml:space="preserve"> розничную продажу пива, пивных напитков,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  <w:highlight w:val="none"/>
              </w:rPr>
              <w:t xml:space="preserve"> сидра, пуаре и медовухи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  <w:highlight w:val="none"/>
                <w:lang w:val="ru-RU"/>
              </w:rPr>
              <w:t xml:space="preserve"> </w:t>
            </w:r>
            <w:r>
              <w:rPr>
                <w:rFonts w:ascii="Times New Roman" w:hAnsi="Times New Roman" w:eastAsia="Times New Roman"/>
                <w:b w:val="0"/>
                <w:bCs w:val="0"/>
                <w:i/>
                <w:iCs/>
                <w:color w:val="auto"/>
                <w:sz w:val="22"/>
                <w:szCs w:val="22"/>
                <w:highlight w:val="none"/>
                <w:lang w:eastAsia="ru-RU"/>
              </w:rPr>
              <w:t xml:space="preserve">– </w:t>
            </w:r>
            <w:r>
              <w:rPr>
                <w:rFonts w:hint="default" w:ascii="Times New Roman" w:hAnsi="Times New Roman" w:eastAsia="Times New Roman"/>
                <w:b/>
                <w:bCs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9,87 млн рублей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 за 2 дня</w:t>
            </w:r>
            <w:r>
              <w:rPr>
                <w:rFonts w:hint="default"/>
                <w:b w:val="0"/>
                <w:bCs w:val="0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.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hint="default"/>
                <w:i/>
                <w:i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Упущенная выгода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auto"/>
                <w:sz w:val="22"/>
                <w:szCs w:val="22"/>
                <w:highlight w:val="none"/>
                <w:lang w:eastAsia="ru-RU"/>
              </w:rPr>
              <w:t xml:space="preserve">(выручка)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2"/>
                <w:szCs w:val="22"/>
                <w:highlight w:val="none"/>
                <w:lang w:eastAsia="ru-RU"/>
              </w:rPr>
              <w:t xml:space="preserve">хозяйствующих субъектов (</w:t>
            </w:r>
            <w:r>
              <w:rPr>
                <w:rFonts w:hint="default" w:ascii="Times New Roman" w:hAnsi="Times New Roman" w:eastAsia="Times New Roman"/>
                <w:b/>
                <w:bCs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8,6 млн рублей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 за 2 дня в 2022 году</w:t>
            </w:r>
            <w:r>
              <w:rPr>
                <w:rFonts w:hint="default"/>
                <w:b/>
                <w:bCs/>
                <w:i/>
                <w:iCs/>
                <w:sz w:val="22"/>
                <w:szCs w:val="22"/>
                <w:highlight w:val="none"/>
                <w:lang w:val="en-US" w:eastAsia="ru-RU"/>
              </w:rPr>
              <w:t xml:space="preserve">),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cs="Times New Roman"/>
                <w:b w:val="0"/>
                <w:bCs w:val="0"/>
                <w:i/>
                <w:iCs/>
                <w:sz w:val="22"/>
                <w:szCs w:val="22"/>
                <w:highlight w:val="none"/>
                <w:lang w:val="ru-RU"/>
              </w:rPr>
              <w:t xml:space="preserve">в сравнении с прогнозными </w:t>
            </w:r>
            <w:r>
              <w:rPr>
                <w:rFonts w:hint="default" w:cs="Times New Roman"/>
                <w:b w:val="0"/>
                <w:bCs w:val="0"/>
                <w:i/>
                <w:iCs/>
                <w:sz w:val="22"/>
                <w:szCs w:val="22"/>
                <w:highlight w:val="none"/>
                <w:lang w:val="ru-RU"/>
              </w:rPr>
              <w:t xml:space="preserve">увеличилась на </w:t>
            </w: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highlight w:val="none"/>
                <w:lang w:val="ru-RU"/>
              </w:rPr>
              <w:t xml:space="preserve">1,27 млн рублей </w:t>
            </w:r>
            <w:r>
              <w:rPr>
                <w:rFonts w:hint="default" w:cs="Times New Roman"/>
                <w:b w:val="0"/>
                <w:bCs w:val="0"/>
                <w:i/>
                <w:iCs/>
                <w:sz w:val="22"/>
                <w:szCs w:val="22"/>
                <w:highlight w:val="none"/>
                <w:lang w:val="ru-RU"/>
              </w:rPr>
              <w:t xml:space="preserve">или на  14,8%. Увеличение у</w:t>
            </w:r>
            <w:r>
              <w:rPr>
                <w:rFonts w:hint="default" w:ascii="Times New Roman" w:hAnsi="Times New Roman" w:eastAsia="Times New Roman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пущенн</w:t>
            </w:r>
            <w:r>
              <w:rPr>
                <w:rFonts w:hint="default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ой</w:t>
            </w:r>
            <w:r>
              <w:rPr>
                <w:rFonts w:hint="default" w:ascii="Times New Roman" w:hAnsi="Times New Roman" w:eastAsia="Times New Roman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 выгод</w:t>
            </w:r>
            <w:r>
              <w:rPr>
                <w:rFonts w:hint="default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ы</w:t>
            </w:r>
            <w:r>
              <w:rPr>
                <w:rFonts w:hint="default" w:ascii="Times New Roman" w:hAnsi="Times New Roman" w:eastAsia="Times New Roman"/>
                <w:i/>
                <w:iCs/>
                <w:color w:val="auto"/>
                <w:sz w:val="22"/>
                <w:szCs w:val="22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iCs/>
                <w:color w:val="auto"/>
                <w:sz w:val="22"/>
                <w:szCs w:val="22"/>
                <w:highlight w:val="none"/>
                <w:lang w:eastAsia="ru-RU"/>
              </w:rPr>
              <w:t xml:space="preserve">(выручк</w:t>
            </w:r>
            <w:r>
              <w:rPr>
                <w:i/>
                <w:iCs/>
                <w:color w:val="auto"/>
                <w:sz w:val="22"/>
                <w:szCs w:val="22"/>
                <w:highlight w:val="none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i/>
                <w:iCs/>
                <w:color w:val="auto"/>
                <w:sz w:val="22"/>
                <w:szCs w:val="22"/>
                <w:highlight w:val="non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/>
                <w:i/>
                <w:iCs/>
                <w:sz w:val="22"/>
                <w:szCs w:val="22"/>
                <w:highlight w:val="none"/>
                <w:lang w:eastAsia="ru-RU"/>
              </w:rPr>
              <w:t xml:space="preserve">хозяйствующих субъектов</w:t>
            </w:r>
            <w:r>
              <w:rPr>
                <w:rFonts w:hint="default"/>
                <w:i/>
                <w:iCs/>
                <w:sz w:val="22"/>
                <w:szCs w:val="22"/>
                <w:highlight w:val="none"/>
                <w:lang w:val="en-US" w:eastAsia="ru-RU"/>
              </w:rPr>
              <w:t xml:space="preserve"> произошло по причине увеличения цен, </w:t>
            </w:r>
            <w:r>
              <w:rPr>
                <w:rFonts w:hint="default"/>
                <w:i/>
                <w:iCs/>
                <w:sz w:val="22"/>
                <w:szCs w:val="22"/>
                <w:highlight w:val="none"/>
                <w:lang w:val="ru-RU"/>
              </w:rPr>
              <w:t xml:space="preserve">не ниже которых осуществляется розничная продажа алкогольной продукции.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708"/>
              <w:jc w:val="both"/>
              <w:rPr>
                <w:i/>
                <w:iCs/>
                <w:color w:val="auto"/>
                <w:sz w:val="22"/>
                <w:szCs w:val="22"/>
                <w:highlight w:val="none"/>
              </w:rPr>
            </w:pPr>
            <w:r>
              <w:rPr>
                <w:i/>
                <w:iCs/>
                <w:color w:val="auto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708"/>
              <w:jc w:val="both"/>
              <w:rPr>
                <w:i/>
                <w:iCs/>
                <w:color w:val="auto"/>
                <w:sz w:val="22"/>
                <w:szCs w:val="22"/>
                <w:highlight w:val="yellow"/>
              </w:rPr>
            </w:pPr>
            <w:r>
              <w:rPr>
                <w:i/>
                <w:iCs/>
                <w:color w:val="auto"/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ind w:firstLine="708"/>
              <w:jc w:val="both"/>
              <w:rPr>
                <w:i/>
                <w:iCs/>
                <w:color w:val="0000ff"/>
                <w:sz w:val="22"/>
                <w:szCs w:val="22"/>
                <w:highlight w:val="yellow"/>
              </w:rPr>
            </w:pPr>
            <w:r>
              <w:rPr>
                <w:i/>
                <w:iCs/>
                <w:color w:val="0000ff"/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rFonts w:eastAsia="Calibri"/>
                <w:i/>
                <w:iCs/>
                <w:color w:val="0000ff"/>
                <w:sz w:val="22"/>
                <w:szCs w:val="22"/>
                <w:highlight w:val="yellow"/>
              </w:rPr>
            </w:pPr>
            <w:r>
              <w:rPr>
                <w:rFonts w:eastAsia="Calibri"/>
                <w:i/>
                <w:iCs/>
                <w:color w:val="0000ff"/>
                <w:sz w:val="22"/>
                <w:szCs w:val="22"/>
                <w:highlight w:val="yellow"/>
                <w:lang w:eastAsia="en-US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</w:tbl>
    <w:p>
      <w:pPr>
        <w:ind w:firstLine="709"/>
        <w:jc w:val="both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</w:r>
      <w:r/>
    </w:p>
    <w:p>
      <w:pPr>
        <w:ind w:firstLine="709"/>
        <w:jc w:val="both"/>
        <w:rPr>
          <w:b w:val="0"/>
          <w:bCs/>
          <w:color w:val="auto"/>
          <w:sz w:val="28"/>
          <w:szCs w:val="28"/>
        </w:rPr>
      </w:pPr>
      <w:r>
        <w:rPr>
          <w:b w:val="0"/>
          <w:bCs/>
          <w:color w:val="auto"/>
          <w:sz w:val="28"/>
          <w:szCs w:val="28"/>
        </w:rPr>
        <w:t xml:space="preserve">5.2. Анализ фактических затрат субъектов предпринимательской и иной экономической деятельности на соблюдение установленного правового регулирования (на соблюдение обязательных требований):</w:t>
      </w:r>
      <w:r/>
    </w:p>
    <w:p>
      <w:pPr>
        <w:ind w:firstLine="709"/>
        <w:jc w:val="both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</w:r>
      <w:r/>
    </w:p>
    <w:tbl>
      <w:tblPr>
        <w:tblStyle w:val="663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722"/>
        <w:gridCol w:w="2693"/>
        <w:gridCol w:w="2698"/>
        <w:gridCol w:w="1980"/>
      </w:tblGrid>
      <w:tr>
        <w:trPr/>
        <w:tc>
          <w:tcPr>
            <w:tcW w:w="2722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color w:val="auto"/>
                <w:highlight w:val="yellow"/>
              </w:rPr>
            </w:pPr>
            <w:r>
              <w:rPr>
                <w:b/>
                <w:iCs/>
                <w:color w:val="auto"/>
              </w:rPr>
              <w:t xml:space="preserve">Группы заинтересованных лиц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highlight w:val="yellow"/>
              </w:rPr>
            </w:pPr>
            <w:r>
              <w:rPr>
                <w:b/>
                <w:color w:val="auto"/>
              </w:rPr>
              <w:t xml:space="preserve">Описание плановых затрат субъектов предпринимательской и иной экономической деятельности</w:t>
            </w:r>
            <w:r/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highlight w:val="yellow"/>
              </w:rPr>
            </w:pPr>
            <w:r>
              <w:rPr>
                <w:b/>
                <w:color w:val="auto"/>
              </w:rPr>
              <w:t xml:space="preserve">Описание фактических затрат субъектов предпринимательской и иной экономической деятельности </w:t>
            </w:r>
            <w:r/>
          </w:p>
        </w:tc>
        <w:tc>
          <w:tcPr>
            <w:tcW w:w="1980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Оценка фактических затрат</w:t>
            </w:r>
            <w:r/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с прогнозными</w:t>
            </w:r>
            <w:r/>
          </w:p>
        </w:tc>
      </w:tr>
      <w:tr>
        <w:trPr/>
        <w:tc>
          <w:tcPr>
            <w:tcW w:w="2722" w:type="dxa"/>
            <w:textDirection w:val="lrTb"/>
            <w:noWrap w:val="false"/>
          </w:tcPr>
          <w:p>
            <w:pPr>
              <w:rPr>
                <w:iCs/>
                <w:color w:val="auto"/>
                <w:highlight w:val="yellow"/>
              </w:rPr>
            </w:pPr>
            <w:r>
              <w:rPr>
                <w:iCs/>
                <w:color w:val="auto"/>
                <w:sz w:val="24"/>
                <w:szCs w:val="24"/>
                <w:lang w:val="ru-RU"/>
              </w:rPr>
              <w:t xml:space="preserve">Организации</w:t>
            </w:r>
            <w:r>
              <w:rPr>
                <w:rFonts w:hint="default"/>
                <w:iCs/>
                <w:color w:val="auto"/>
                <w:sz w:val="24"/>
                <w:szCs w:val="24"/>
                <w:lang w:val="ru-RU"/>
              </w:rPr>
              <w:t xml:space="preserve">, осуществляющие </w:t>
            </w:r>
            <w:r>
              <w:rPr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 xml:space="preserve">розничную продажу</w:t>
            </w:r>
            <w:r>
              <w:rPr>
                <w:rFonts w:hint="default"/>
                <w:bCs/>
                <w:color w:val="auto"/>
                <w:sz w:val="24"/>
                <w:szCs w:val="24"/>
                <w:lang w:val="ru-RU"/>
              </w:rPr>
              <w:t xml:space="preserve"> алкогольной продукции, и и</w:t>
            </w:r>
            <w:r>
              <w:rPr>
                <w:iCs/>
                <w:color w:val="auto"/>
                <w:sz w:val="24"/>
                <w:szCs w:val="24"/>
              </w:rPr>
              <w:t xml:space="preserve">ндивидуальные предприниматели, </w:t>
            </w:r>
            <w:r>
              <w:rPr>
                <w:iCs/>
                <w:color w:val="auto"/>
                <w:sz w:val="24"/>
                <w:szCs w:val="24"/>
                <w:lang w:val="ru-RU"/>
              </w:rPr>
              <w:t xml:space="preserve">осуществляющие</w:t>
            </w:r>
            <w:r>
              <w:rPr>
                <w:rFonts w:hint="default"/>
                <w:iCs/>
                <w:color w:val="auto"/>
                <w:sz w:val="24"/>
                <w:szCs w:val="24"/>
                <w:lang w:val="ru-RU"/>
              </w:rPr>
              <w:t xml:space="preserve"> розничную продажу пива, пивных напитков</w:t>
            </w:r>
            <w:r>
              <w:rPr>
                <w:bCs/>
                <w:color w:val="auto"/>
                <w:sz w:val="24"/>
                <w:szCs w:val="24"/>
              </w:rPr>
              <w:t xml:space="preserve">, сидра, пуаре, медовухи 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 xml:space="preserve">на</w:t>
            </w:r>
            <w:r>
              <w:rPr>
                <w:rFonts w:hint="default"/>
                <w:bCs/>
                <w:color w:val="auto"/>
                <w:sz w:val="24"/>
                <w:szCs w:val="24"/>
                <w:lang w:val="ru-RU"/>
              </w:rPr>
              <w:t xml:space="preserve"> территории муниципальных образований Белгородской области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Возможная упущенная выгода</w:t>
            </w:r>
            <w:r>
              <w:rPr>
                <w:rFonts w:hint="default"/>
                <w:b/>
                <w:bCs/>
                <w:color w:val="auto"/>
                <w:lang w:val="ru-RU"/>
              </w:rPr>
              <w:t xml:space="preserve"> (выручка)</w:t>
            </w:r>
            <w:r>
              <w:rPr>
                <w:color w:val="auto"/>
              </w:rPr>
              <w:t xml:space="preserve"> от </w:t>
            </w:r>
            <w:r>
              <w:rPr>
                <w:rFonts w:eastAsia="SimSun"/>
                <w:color w:val="auto"/>
              </w:rPr>
              <w:t xml:space="preserve">розничной продажи </w:t>
            </w:r>
            <w:r>
              <w:rPr>
                <w:rFonts w:eastAsia="SimSun"/>
                <w:color w:val="auto"/>
                <w:lang w:val="ru-RU"/>
              </w:rPr>
              <w:t xml:space="preserve">алкогольной</w:t>
            </w:r>
            <w:r>
              <w:rPr>
                <w:rFonts w:hint="default" w:eastAsia="SimSun"/>
                <w:color w:val="auto"/>
                <w:lang w:val="ru-RU"/>
              </w:rPr>
              <w:t xml:space="preserve"> продукции, </w:t>
            </w:r>
            <w:r>
              <w:rPr>
                <w:rFonts w:eastAsia="SimSun"/>
                <w:color w:val="auto"/>
              </w:rPr>
              <w:t xml:space="preserve">пива, пивных напитков, сидра, пуаре, медовухи</w:t>
            </w:r>
            <w:r>
              <w:rPr>
                <w:rFonts w:eastAsia="SimSun"/>
                <w:b/>
                <w:bCs/>
                <w:color w:val="auto"/>
              </w:rPr>
              <w:t xml:space="preserve"> в 202</w:t>
            </w:r>
            <w:r>
              <w:rPr>
                <w:rFonts w:hint="default" w:eastAsia="SimSun"/>
                <w:b/>
                <w:bCs/>
                <w:color w:val="auto"/>
                <w:lang w:val="ru-RU"/>
              </w:rPr>
              <w:t xml:space="preserve">2</w:t>
            </w:r>
            <w:r>
              <w:rPr>
                <w:rFonts w:eastAsia="SimSun"/>
                <w:b/>
                <w:bCs/>
                <w:color w:val="auto"/>
              </w:rPr>
              <w:t xml:space="preserve"> году составила </w:t>
            </w:r>
            <w:r>
              <w:rPr>
                <w:rFonts w:eastAsia="SimSun"/>
                <w:b/>
                <w:bCs/>
                <w:color w:val="auto"/>
              </w:rPr>
              <w:br/>
            </w:r>
            <w:r>
              <w:rPr>
                <w:rFonts w:hint="default" w:eastAsia="SimSun"/>
                <w:b/>
                <w:bCs/>
                <w:color w:val="auto"/>
                <w:lang w:val="ru-RU"/>
              </w:rPr>
              <w:t xml:space="preserve">8,</w:t>
            </w:r>
            <w:r>
              <w:rPr>
                <w:rFonts w:eastAsia="SimSun"/>
                <w:b/>
                <w:bCs/>
                <w:color w:val="auto"/>
              </w:rPr>
              <w:t xml:space="preserve">6 млн руб. </w:t>
            </w:r>
            <w:r/>
          </w:p>
        </w:tc>
        <w:tc>
          <w:tcPr>
            <w:tcW w:w="2698" w:type="dxa"/>
            <w:textDirection w:val="lrTb"/>
            <w:noWrap w:val="false"/>
          </w:tcPr>
          <w:p>
            <w:pPr>
              <w:rPr>
                <w:color w:val="auto"/>
                <w:highlight w:val="yellow"/>
              </w:rPr>
            </w:pPr>
            <w:r>
              <w:rPr>
                <w:b/>
                <w:bCs/>
                <w:color w:val="auto"/>
              </w:rPr>
              <w:t xml:space="preserve">Возможная упущенная выгода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 xml:space="preserve">(выручка) </w:t>
            </w:r>
            <w:r>
              <w:rPr>
                <w:color w:val="auto"/>
              </w:rPr>
              <w:t xml:space="preserve">от </w:t>
            </w:r>
            <w:r>
              <w:rPr>
                <w:rFonts w:eastAsia="SimSun"/>
                <w:color w:val="auto"/>
              </w:rPr>
              <w:t xml:space="preserve">розничной продажи </w:t>
            </w:r>
            <w:r>
              <w:rPr>
                <w:rFonts w:eastAsia="SimSun"/>
                <w:color w:val="auto"/>
                <w:lang w:val="ru-RU"/>
              </w:rPr>
              <w:t xml:space="preserve">алкогольной</w:t>
            </w:r>
            <w:r>
              <w:rPr>
                <w:rFonts w:hint="default" w:eastAsia="SimSun"/>
                <w:color w:val="auto"/>
                <w:lang w:val="ru-RU"/>
              </w:rPr>
              <w:t xml:space="preserve"> продукции, </w:t>
            </w:r>
            <w:r>
              <w:rPr>
                <w:rFonts w:eastAsia="SimSun"/>
                <w:color w:val="auto"/>
              </w:rPr>
              <w:t xml:space="preserve">пива, пивных напитков, сидра, пуаре, медовухи</w:t>
            </w:r>
            <w:r>
              <w:rPr>
                <w:rFonts w:eastAsia="SimSun"/>
                <w:b/>
                <w:bCs/>
                <w:color w:val="auto"/>
              </w:rPr>
              <w:t xml:space="preserve"> в 202</w:t>
            </w:r>
            <w:r>
              <w:rPr>
                <w:rFonts w:hint="default" w:eastAsia="SimSun"/>
                <w:b/>
                <w:bCs/>
                <w:color w:val="auto"/>
                <w:lang w:val="ru-RU"/>
              </w:rPr>
              <w:t xml:space="preserve">5</w:t>
            </w:r>
            <w:r>
              <w:rPr>
                <w:rFonts w:eastAsia="SimSun"/>
                <w:b/>
                <w:bCs/>
                <w:color w:val="auto"/>
              </w:rPr>
              <w:t xml:space="preserve"> году составила </w:t>
            </w:r>
            <w:r>
              <w:rPr>
                <w:rFonts w:eastAsia="SimSun"/>
                <w:b/>
                <w:bCs/>
                <w:color w:val="auto"/>
              </w:rPr>
              <w:br/>
            </w:r>
            <w:r>
              <w:rPr>
                <w:rFonts w:hint="default" w:eastAsia="SimSun"/>
                <w:b/>
                <w:bCs/>
                <w:color w:val="auto"/>
                <w:lang w:val="ru-RU"/>
              </w:rPr>
              <w:t xml:space="preserve">9,87</w:t>
            </w:r>
            <w:r>
              <w:rPr>
                <w:rFonts w:eastAsia="SimSun"/>
                <w:b/>
                <w:bCs/>
                <w:color w:val="auto"/>
              </w:rPr>
              <w:t xml:space="preserve"> млн руб. </w:t>
            </w:r>
            <w:r/>
          </w:p>
        </w:tc>
        <w:tc>
          <w:tcPr>
            <w:tcW w:w="1980" w:type="dxa"/>
            <w:textDirection w:val="lrTb"/>
            <w:noWrap w:val="false"/>
          </w:tcPr>
          <w:p>
            <w:pPr>
              <w:jc w:val="both"/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ru-RU"/>
              </w:rPr>
              <w:t xml:space="preserve">Возможная у</w:t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ru-RU"/>
              </w:rPr>
              <w:t xml:space="preserve">пущенная выгода</w:t>
            </w:r>
            <w:r>
              <w:rPr>
                <w:rFonts w:hint="default" w:ascii="Times New Roman" w:hAnsi="Times New Roman" w:eastAsia="Times New Roman"/>
                <w:i w:val="0"/>
                <w:iCs w:val="0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(выручка) </w:t>
            </w:r>
            <w:r>
              <w:rPr>
                <w:rFonts w:ascii="Times New Roman" w:hAnsi="Times New Roman" w:eastAsia="Times New Roman"/>
                <w:i w:val="0"/>
                <w:iCs w:val="0"/>
                <w:sz w:val="24"/>
                <w:szCs w:val="24"/>
                <w:lang w:eastAsia="ru-RU"/>
              </w:rPr>
              <w:t xml:space="preserve">хозяйствующих субъектов</w:t>
            </w:r>
            <w:r>
              <w:rPr>
                <w:rFonts w:hint="default"/>
                <w:i w:val="0"/>
                <w:iCs w:val="0"/>
                <w:sz w:val="24"/>
                <w:szCs w:val="24"/>
                <w:lang w:val="en-US" w:eastAsia="ru-RU"/>
              </w:rPr>
              <w:t xml:space="preserve"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в сравнении с прогнозными 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br/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увеличилась на   </w:t>
            </w:r>
            <w:r>
              <w:rPr>
                <w:rFonts w:hint="default" w:cs="Times New Roman"/>
                <w:b/>
                <w:bCs/>
                <w:i w:val="0"/>
                <w:iCs w:val="0"/>
                <w:sz w:val="24"/>
                <w:szCs w:val="24"/>
                <w:lang w:val="ru-RU"/>
              </w:rPr>
              <w:t xml:space="preserve">1,27 тыс. рублей или на  14,8%,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  за счёт роста цен на розничную продажу алкогольной продукции.</w:t>
            </w:r>
            <w:r/>
          </w:p>
        </w:tc>
      </w:tr>
    </w:tbl>
    <w:p>
      <w:pPr>
        <w:ind w:firstLine="709"/>
        <w:jc w:val="both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</w:r>
      <w:r/>
    </w:p>
    <w:p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5.3. Анализ расходов (возможных поступлений) консолидированного бюджета Белгородской области:</w:t>
      </w:r>
      <w:r/>
    </w:p>
    <w:p>
      <w:pPr>
        <w:ind w:firstLine="709"/>
        <w:jc w:val="both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</w:r>
      <w:r/>
    </w:p>
    <w:tbl>
      <w:tblPr>
        <w:tblStyle w:val="663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722"/>
        <w:gridCol w:w="2126"/>
        <w:gridCol w:w="2127"/>
        <w:gridCol w:w="3118"/>
      </w:tblGrid>
      <w:tr>
        <w:trPr/>
        <w:tc>
          <w:tcPr>
            <w:tcW w:w="2722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color w:val="auto"/>
                <w:highlight w:val="yellow"/>
              </w:rPr>
            </w:pPr>
            <w:r>
              <w:rPr>
                <w:b/>
                <w:iCs/>
                <w:color w:val="auto"/>
              </w:rPr>
              <w:t xml:space="preserve">Описание расходов (поступлений) консолидированного бюджета Белгородской области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Плановая количественная оценка, </w:t>
            </w:r>
            <w:r/>
          </w:p>
          <w:p>
            <w:pPr>
              <w:jc w:val="center"/>
              <w:rPr>
                <w:b/>
                <w:color w:val="auto"/>
                <w:highlight w:val="yellow"/>
              </w:rPr>
            </w:pPr>
            <w:r>
              <w:rPr>
                <w:b/>
                <w:color w:val="auto"/>
              </w:rPr>
              <w:t xml:space="preserve">тыс. рублей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Фактическая количественная оценка, </w:t>
            </w:r>
            <w:r/>
          </w:p>
          <w:p>
            <w:pPr>
              <w:jc w:val="center"/>
              <w:rPr>
                <w:b/>
                <w:color w:val="auto"/>
                <w:highlight w:val="yellow"/>
              </w:rPr>
            </w:pPr>
            <w:r>
              <w:rPr>
                <w:b/>
                <w:color w:val="auto"/>
              </w:rPr>
              <w:t xml:space="preserve">тыс. рублей 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Оценка фактических расходов </w:t>
            </w:r>
            <w:r/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с прогнозными</w:t>
            </w:r>
            <w:r/>
          </w:p>
        </w:tc>
      </w:tr>
      <w:tr>
        <w:trPr/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jc w:val="center"/>
              <w:rPr>
                <w:iCs/>
                <w:color w:val="auto"/>
                <w:highlight w:val="yellow"/>
              </w:rPr>
            </w:pPr>
            <w:r>
              <w:rPr>
                <w:iCs/>
                <w:color w:val="auto"/>
              </w:rPr>
              <w:t xml:space="preserve">-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 xml:space="preserve">-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 xml:space="preserve">-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Отклонений не выявлено</w:t>
            </w:r>
            <w:r/>
          </w:p>
        </w:tc>
      </w:tr>
    </w:tbl>
    <w:p>
      <w:pPr>
        <w:ind w:firstLine="709"/>
        <w:jc w:val="both"/>
        <w:rPr>
          <w:bCs/>
          <w:color w:val="auto"/>
          <w:sz w:val="18"/>
          <w:szCs w:val="18"/>
        </w:rPr>
      </w:pPr>
      <w:r>
        <w:rPr>
          <w:bCs/>
          <w:color w:val="auto"/>
          <w:sz w:val="18"/>
          <w:szCs w:val="18"/>
        </w:rPr>
      </w:r>
      <w:r/>
    </w:p>
    <w:p>
      <w:pPr>
        <w:ind w:firstLine="709"/>
        <w:jc w:val="both"/>
        <w:widowControl w:val="off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6. Оценка соблюдения принципов установления и оценки применения обязательных требований: не устанавливались</w:t>
      </w:r>
      <w:r/>
    </w:p>
    <w:p>
      <w:pPr>
        <w:ind w:firstLine="709"/>
        <w:jc w:val="both"/>
        <w:widowControl w:val="o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 Иные сведения, позволяющие оценить фактическое воздействие:</w:t>
      </w:r>
      <w:r/>
    </w:p>
    <w:p>
      <w:pPr>
        <w:ind w:firstLine="709"/>
        <w:jc w:val="both"/>
        <w:widowControl w:val="o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7.1. Иные сведения: отсутствуют</w:t>
      </w:r>
      <w:r/>
    </w:p>
    <w:p>
      <w:pPr>
        <w:ind w:firstLine="709"/>
        <w:jc w:val="both"/>
        <w:widowControl w:val="off"/>
        <w:rPr>
          <w:rFonts w:eastAsia="Calibri"/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7.2. Источники данных: -</w:t>
      </w:r>
      <w:r>
        <w:rPr>
          <w:rFonts w:eastAsia="Calibri"/>
          <w:color w:val="auto"/>
          <w:sz w:val="28"/>
          <w:szCs w:val="28"/>
        </w:rPr>
        <w:t xml:space="preserve"> </w:t>
      </w:r>
      <w:r/>
    </w:p>
    <w:p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>
        <w:rPr>
          <w:rFonts w:eastAsia="Calibri"/>
          <w:bCs/>
          <w:color w:val="ff0000"/>
          <w:sz w:val="28"/>
          <w:szCs w:val="28"/>
          <w:lang w:eastAsia="en-US"/>
        </w:rPr>
      </w:r>
      <w:r/>
    </w:p>
    <w:p>
      <w:pPr>
        <w:jc w:val="both"/>
        <w:rPr>
          <w:rFonts w:eastAsia="Calibri"/>
          <w:b/>
          <w:bCs/>
          <w:color w:val="auto"/>
          <w:sz w:val="26"/>
          <w:szCs w:val="26"/>
          <w:lang w:eastAsia="en-US"/>
        </w:rPr>
      </w:pPr>
      <w:r/>
      <w:bookmarkStart w:id="2" w:name="_GoBack"/>
      <w:r/>
      <w:bookmarkEnd w:id="2"/>
      <w:r/>
      <w:r/>
    </w:p>
    <w:p>
      <w:pPr>
        <w:ind w:firstLine="709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ff0000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6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53">
    <w:name w:val="Heading 1"/>
    <w:basedOn w:val="652"/>
    <w:next w:val="652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4">
    <w:name w:val="Heading 2"/>
    <w:basedOn w:val="652"/>
    <w:next w:val="652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5">
    <w:name w:val="Heading 3"/>
    <w:basedOn w:val="652"/>
    <w:next w:val="652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6">
    <w:name w:val="Heading 4"/>
    <w:basedOn w:val="652"/>
    <w:next w:val="652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652"/>
    <w:next w:val="652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8">
    <w:name w:val="Heading 6"/>
    <w:basedOn w:val="652"/>
    <w:next w:val="652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652"/>
    <w:next w:val="652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652"/>
    <w:next w:val="652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652"/>
    <w:next w:val="652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 w:default="1">
    <w:name w:val="Default Paragraph Font"/>
    <w:uiPriority w:val="1"/>
    <w:semiHidden/>
    <w:unhideWhenUsed/>
    <w:qFormat/>
  </w:style>
  <w:style w:type="table" w:styleId="66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4">
    <w:name w:val="footnote reference"/>
    <w:basedOn w:val="662"/>
    <w:uiPriority w:val="99"/>
    <w:unhideWhenUsed/>
    <w:qFormat/>
    <w:rPr>
      <w:vertAlign w:val="superscript"/>
    </w:rPr>
  </w:style>
  <w:style w:type="character" w:styleId="665">
    <w:name w:val="endnote reference"/>
    <w:basedOn w:val="662"/>
    <w:uiPriority w:val="99"/>
    <w:semiHidden/>
    <w:unhideWhenUsed/>
    <w:qFormat/>
    <w:rPr>
      <w:vertAlign w:val="superscript"/>
    </w:rPr>
  </w:style>
  <w:style w:type="character" w:styleId="666">
    <w:name w:val="Hyperlink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67">
    <w:name w:val="Balloon Text"/>
    <w:basedOn w:val="652"/>
    <w:uiPriority w:val="0"/>
    <w:semiHidden/>
    <w:qFormat/>
    <w:rPr>
      <w:rFonts w:ascii="Tahoma" w:hAnsi="Tahoma" w:cs="Tahoma"/>
      <w:sz w:val="16"/>
      <w:szCs w:val="16"/>
    </w:rPr>
  </w:style>
  <w:style w:type="paragraph" w:styleId="668">
    <w:name w:val="endnote text"/>
    <w:basedOn w:val="652"/>
    <w:link w:val="866"/>
    <w:uiPriority w:val="99"/>
    <w:semiHidden/>
    <w:unhideWhenUsed/>
    <w:qFormat/>
    <w:rPr>
      <w:sz w:val="20"/>
    </w:rPr>
  </w:style>
  <w:style w:type="paragraph" w:styleId="669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70">
    <w:name w:val="footnote text"/>
    <w:basedOn w:val="652"/>
    <w:link w:val="865"/>
    <w:uiPriority w:val="99"/>
    <w:semiHidden/>
    <w:unhideWhenUsed/>
    <w:qFormat/>
    <w:pPr>
      <w:spacing w:after="40"/>
    </w:pPr>
    <w:rPr>
      <w:sz w:val="18"/>
    </w:rPr>
  </w:style>
  <w:style w:type="paragraph" w:styleId="671">
    <w:name w:val="toc 8"/>
    <w:basedOn w:val="652"/>
    <w:next w:val="652"/>
    <w:uiPriority w:val="39"/>
    <w:unhideWhenUsed/>
    <w:qFormat/>
    <w:pPr>
      <w:ind w:left="1984"/>
      <w:spacing w:after="57"/>
    </w:pPr>
  </w:style>
  <w:style w:type="paragraph" w:styleId="672">
    <w:name w:val="Header"/>
    <w:basedOn w:val="652"/>
    <w:link w:val="870"/>
    <w:uiPriority w:val="99"/>
    <w:qFormat/>
    <w:pPr>
      <w:tabs>
        <w:tab w:val="center" w:pos="4677" w:leader="none"/>
        <w:tab w:val="right" w:pos="9355" w:leader="none"/>
      </w:tabs>
    </w:pPr>
  </w:style>
  <w:style w:type="paragraph" w:styleId="673">
    <w:name w:val="toc 9"/>
    <w:basedOn w:val="652"/>
    <w:next w:val="652"/>
    <w:uiPriority w:val="39"/>
    <w:unhideWhenUsed/>
    <w:qFormat/>
    <w:pPr>
      <w:ind w:left="2268"/>
      <w:spacing w:after="57"/>
    </w:pPr>
  </w:style>
  <w:style w:type="paragraph" w:styleId="674">
    <w:name w:val="toc 7"/>
    <w:basedOn w:val="652"/>
    <w:next w:val="652"/>
    <w:uiPriority w:val="39"/>
    <w:unhideWhenUsed/>
    <w:qFormat/>
    <w:pPr>
      <w:ind w:left="1701"/>
      <w:spacing w:after="57"/>
    </w:pPr>
  </w:style>
  <w:style w:type="paragraph" w:styleId="675">
    <w:name w:val="toc 1"/>
    <w:basedOn w:val="652"/>
    <w:next w:val="652"/>
    <w:uiPriority w:val="39"/>
    <w:unhideWhenUsed/>
    <w:qFormat/>
    <w:pPr>
      <w:spacing w:after="57"/>
    </w:pPr>
  </w:style>
  <w:style w:type="paragraph" w:styleId="676">
    <w:name w:val="toc 6"/>
    <w:basedOn w:val="652"/>
    <w:next w:val="652"/>
    <w:uiPriority w:val="39"/>
    <w:unhideWhenUsed/>
    <w:qFormat/>
    <w:pPr>
      <w:ind w:left="1417"/>
      <w:spacing w:after="57"/>
    </w:pPr>
  </w:style>
  <w:style w:type="paragraph" w:styleId="677">
    <w:name w:val="table of figures"/>
    <w:basedOn w:val="652"/>
    <w:next w:val="652"/>
    <w:uiPriority w:val="99"/>
    <w:unhideWhenUsed/>
    <w:qFormat/>
  </w:style>
  <w:style w:type="paragraph" w:styleId="678">
    <w:name w:val="toc 3"/>
    <w:basedOn w:val="652"/>
    <w:next w:val="652"/>
    <w:uiPriority w:val="39"/>
    <w:unhideWhenUsed/>
    <w:qFormat/>
    <w:pPr>
      <w:ind w:left="567"/>
      <w:spacing w:after="57"/>
    </w:pPr>
  </w:style>
  <w:style w:type="paragraph" w:styleId="679">
    <w:name w:val="toc 2"/>
    <w:basedOn w:val="652"/>
    <w:next w:val="652"/>
    <w:uiPriority w:val="39"/>
    <w:unhideWhenUsed/>
    <w:qFormat/>
    <w:pPr>
      <w:ind w:left="283"/>
      <w:spacing w:after="57"/>
    </w:pPr>
  </w:style>
  <w:style w:type="paragraph" w:styleId="680">
    <w:name w:val="toc 4"/>
    <w:basedOn w:val="652"/>
    <w:next w:val="652"/>
    <w:uiPriority w:val="39"/>
    <w:unhideWhenUsed/>
    <w:qFormat/>
    <w:pPr>
      <w:ind w:left="850"/>
      <w:spacing w:after="57"/>
    </w:pPr>
  </w:style>
  <w:style w:type="paragraph" w:styleId="681">
    <w:name w:val="toc 5"/>
    <w:basedOn w:val="652"/>
    <w:next w:val="652"/>
    <w:uiPriority w:val="39"/>
    <w:unhideWhenUsed/>
    <w:qFormat/>
    <w:pPr>
      <w:ind w:left="1134"/>
      <w:spacing w:after="57"/>
    </w:pPr>
  </w:style>
  <w:style w:type="paragraph" w:styleId="682">
    <w:name w:val="Title"/>
    <w:basedOn w:val="652"/>
    <w:next w:val="652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83">
    <w:name w:val="Footer"/>
    <w:basedOn w:val="652"/>
    <w:link w:val="871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84">
    <w:name w:val="Subtitle"/>
    <w:basedOn w:val="652"/>
    <w:next w:val="652"/>
    <w:link w:val="732"/>
    <w:uiPriority w:val="11"/>
    <w:qFormat/>
    <w:pPr>
      <w:spacing w:before="200" w:after="200"/>
    </w:pPr>
  </w:style>
  <w:style w:type="table" w:styleId="685">
    <w:name w:val="Table Grid"/>
    <w:basedOn w:val="663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86" w:customStyle="1">
    <w:name w:val="Heading 1 Char"/>
    <w:basedOn w:val="662"/>
    <w:uiPriority w:val="9"/>
    <w:qFormat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62"/>
    <w:uiPriority w:val="9"/>
    <w:qFormat/>
    <w:rPr>
      <w:rFonts w:ascii="Arial" w:hAnsi="Arial" w:eastAsia="Arial" w:cs="Arial"/>
      <w:sz w:val="34"/>
    </w:rPr>
  </w:style>
  <w:style w:type="character" w:styleId="688" w:customStyle="1">
    <w:name w:val="Heading 3 Char"/>
    <w:basedOn w:val="662"/>
    <w:uiPriority w:val="9"/>
    <w:qFormat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6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6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6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6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62"/>
    <w:uiPriority w:val="10"/>
    <w:qFormat/>
    <w:rPr>
      <w:sz w:val="48"/>
      <w:szCs w:val="48"/>
    </w:rPr>
  </w:style>
  <w:style w:type="character" w:styleId="696" w:customStyle="1">
    <w:name w:val="Subtitle Char"/>
    <w:basedOn w:val="662"/>
    <w:uiPriority w:val="11"/>
    <w:qFormat/>
    <w:rPr>
      <w:sz w:val="24"/>
      <w:szCs w:val="24"/>
    </w:rPr>
  </w:style>
  <w:style w:type="character" w:styleId="697" w:customStyle="1">
    <w:name w:val="Quote Char"/>
    <w:uiPriority w:val="29"/>
    <w:qFormat/>
    <w:rPr>
      <w:i/>
    </w:rPr>
  </w:style>
  <w:style w:type="character" w:styleId="698" w:customStyle="1">
    <w:name w:val="Intense Quote Char"/>
    <w:uiPriority w:val="30"/>
    <w:qFormat/>
    <w:rPr>
      <w:i/>
    </w:rPr>
  </w:style>
  <w:style w:type="table" w:styleId="699" w:customStyle="1">
    <w:name w:val="Plain Table 1"/>
    <w:basedOn w:val="66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2"/>
    <w:basedOn w:val="663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 w:customStyle="1">
    <w:name w:val="Plain Table 3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 w:customStyle="1">
    <w:name w:val="Plain Table 4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Plain Table 5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1 Light"/>
    <w:basedOn w:val="663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2"/>
    <w:basedOn w:val="66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"/>
    <w:basedOn w:val="66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4"/>
    <w:basedOn w:val="663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 w:customStyle="1">
    <w:name w:val="Grid Table 5 Dark"/>
    <w:basedOn w:val="66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6 Colorful"/>
    <w:basedOn w:val="663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10" w:customStyle="1">
    <w:name w:val="Grid Table 7 Colorful"/>
    <w:basedOn w:val="663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List Table 1 Light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List Table 2"/>
    <w:basedOn w:val="663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13" w:customStyle="1">
    <w:name w:val="List Table 3"/>
    <w:basedOn w:val="66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List Table 4"/>
    <w:basedOn w:val="66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List Table 5 Dark"/>
    <w:basedOn w:val="663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16" w:customStyle="1">
    <w:name w:val="List Table 6 Colorful"/>
    <w:basedOn w:val="663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17" w:customStyle="1">
    <w:name w:val="List Table 7 Colorful"/>
    <w:basedOn w:val="663"/>
    <w:uiPriority w:val="99"/>
    <w:qFormat/>
    <w:tblPr>
      <w:tblBorders>
        <w:right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18" w:customStyle="1">
    <w:name w:val="Footnote Text Char"/>
    <w:uiPriority w:val="99"/>
    <w:qFormat/>
    <w:rPr>
      <w:sz w:val="18"/>
    </w:rPr>
  </w:style>
  <w:style w:type="character" w:styleId="719" w:customStyle="1">
    <w:name w:val="Endnote Text Char"/>
    <w:uiPriority w:val="99"/>
    <w:qFormat/>
    <w:rPr>
      <w:sz w:val="20"/>
    </w:rPr>
  </w:style>
  <w:style w:type="character" w:styleId="720" w:customStyle="1">
    <w:name w:val="Заголовок 1 Знак"/>
    <w:basedOn w:val="662"/>
    <w:link w:val="653"/>
    <w:uiPriority w:val="9"/>
    <w:qFormat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662"/>
    <w:link w:val="654"/>
    <w:uiPriority w:val="9"/>
    <w:qFormat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662"/>
    <w:link w:val="655"/>
    <w:uiPriority w:val="9"/>
    <w:qFormat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662"/>
    <w:link w:val="65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662"/>
    <w:link w:val="65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662"/>
    <w:link w:val="65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662"/>
    <w:link w:val="65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662"/>
    <w:link w:val="66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662"/>
    <w:link w:val="661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652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rPr>
      <w:rFonts w:ascii="Times New Roman" w:hAnsi="Times New Roman" w:eastAsia="Times New Roman" w:cs="Times New Roman"/>
      <w:lang w:val="ru-RU" w:eastAsia="ru-RU" w:bidi="ar-SA"/>
    </w:rPr>
  </w:style>
  <w:style w:type="character" w:styleId="731" w:customStyle="1">
    <w:name w:val="Название Знак"/>
    <w:basedOn w:val="662"/>
    <w:link w:val="682"/>
    <w:uiPriority w:val="10"/>
    <w:qFormat/>
    <w:rPr>
      <w:sz w:val="48"/>
      <w:szCs w:val="48"/>
    </w:rPr>
  </w:style>
  <w:style w:type="character" w:styleId="732" w:customStyle="1">
    <w:name w:val="Подзаголовок Знак"/>
    <w:basedOn w:val="662"/>
    <w:link w:val="684"/>
    <w:uiPriority w:val="11"/>
    <w:qFormat/>
    <w:rPr>
      <w:sz w:val="24"/>
      <w:szCs w:val="24"/>
    </w:rPr>
  </w:style>
  <w:style w:type="paragraph" w:styleId="733">
    <w:name w:val="Quote"/>
    <w:basedOn w:val="652"/>
    <w:next w:val="652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qFormat/>
    <w:rPr>
      <w:i/>
    </w:rPr>
  </w:style>
  <w:style w:type="paragraph" w:styleId="735">
    <w:name w:val="Intense Quote"/>
    <w:basedOn w:val="652"/>
    <w:next w:val="652"/>
    <w:link w:val="736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qFormat/>
    <w:rPr>
      <w:i/>
    </w:rPr>
  </w:style>
  <w:style w:type="character" w:styleId="737" w:customStyle="1">
    <w:name w:val="Header Char"/>
    <w:basedOn w:val="662"/>
    <w:uiPriority w:val="99"/>
    <w:qFormat/>
  </w:style>
  <w:style w:type="character" w:styleId="738" w:customStyle="1">
    <w:name w:val="Footer Char"/>
    <w:basedOn w:val="662"/>
    <w:uiPriority w:val="99"/>
    <w:qFormat/>
  </w:style>
  <w:style w:type="character" w:styleId="739" w:customStyle="1">
    <w:name w:val="Caption Char"/>
    <w:uiPriority w:val="99"/>
    <w:qFormat/>
  </w:style>
  <w:style w:type="table" w:styleId="740" w:customStyle="1">
    <w:name w:val="Table Grid Light"/>
    <w:basedOn w:val="66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Таблица простая 11"/>
    <w:basedOn w:val="66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1f1f1" w:themeFill="text1" w:themeFillTint="0D"/>
      </w:tcPr>
    </w:tblStylePr>
    <w:tblStylePr w:type="band1Vert">
      <w:tcPr>
        <w:shd w:val="clear" w:color="ffffff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Таблица простая 21"/>
    <w:basedOn w:val="663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Таблица простая 31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 w:customStyle="1">
    <w:name w:val="Таблица простая 41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Таблица простая 51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1 светлая1"/>
    <w:basedOn w:val="663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66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66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66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66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66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66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Таблица-сетка 21"/>
    <w:basedOn w:val="66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66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66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66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66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66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66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Таблица-сетка 31"/>
    <w:basedOn w:val="66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66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66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66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66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66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66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Таблица-сетка 41"/>
    <w:basedOn w:val="663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663"/>
    <w:uiPriority w:val="5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69" w:customStyle="1">
    <w:name w:val="Grid Table 4 - Accent 2"/>
    <w:basedOn w:val="663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70" w:customStyle="1">
    <w:name w:val="Grid Table 4 - Accent 3"/>
    <w:basedOn w:val="663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1" w:customStyle="1">
    <w:name w:val="Grid Table 4 - Accent 4"/>
    <w:basedOn w:val="663"/>
    <w:uiPriority w:val="5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72" w:customStyle="1">
    <w:name w:val="Grid Table 4 - Accent 5"/>
    <w:basedOn w:val="663"/>
    <w:uiPriority w:val="5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3" w:customStyle="1">
    <w:name w:val="Grid Table 4 - Accent 6"/>
    <w:basedOn w:val="663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4" w:customStyle="1">
    <w:name w:val="Таблица-сетка 5 темная1"/>
    <w:basedOn w:val="66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98989" w:themeFill="text1" w:themeFillTint="75"/>
      </w:tcPr>
    </w:tblStylePr>
    <w:tblStylePr w:type="band1Vert">
      <w:tcPr>
        <w:shd w:val="clear" w:color="ffffff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66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3d1eb" w:themeFill="accent1" w:themeFillTint="75"/>
      </w:tcPr>
    </w:tblStylePr>
    <w:tblStylePr w:type="band1Vert">
      <w:tcPr>
        <w:shd w:val="clear" w:color="ffffff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66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66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66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ee289" w:themeFill="accent4" w:themeFillTint="75"/>
      </w:tcPr>
    </w:tblStylePr>
    <w:tblStylePr w:type="band1Vert">
      <w:tcPr>
        <w:shd w:val="clear" w:color="ffffff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66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bee3" w:themeFill="accent5" w:themeFillTint="75"/>
      </w:tcPr>
    </w:tblStylePr>
    <w:tblStylePr w:type="band1Vert">
      <w:tcPr>
        <w:shd w:val="clear" w:color="ffffff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66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81" w:customStyle="1">
    <w:name w:val="Таблица-сетка 6 цветная1"/>
    <w:basedOn w:val="663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1Vert"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82" w:customStyle="1">
    <w:name w:val="Grid Table 6 Colorful - Accent 1"/>
    <w:basedOn w:val="663"/>
    <w:uiPriority w:val="99"/>
    <w:qFormat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83" w:customStyle="1">
    <w:name w:val="Grid Table 6 Colorful - Accent 2"/>
    <w:basedOn w:val="66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84" w:customStyle="1">
    <w:name w:val="Grid Table 6 Colorful - Accent 3"/>
    <w:basedOn w:val="663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85" w:customStyle="1">
    <w:name w:val="Grid Table 6 Colorful - Accent 4"/>
    <w:basedOn w:val="66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ef2ca" w:themeFill="accent4" w:themeFillTint="34"/>
      </w:tcPr>
    </w:tblStylePr>
    <w:tblStylePr w:type="band1Vert">
      <w:tcPr>
        <w:shd w:val="clear" w:color="ffffff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86" w:customStyle="1">
    <w:name w:val="Grid Table 6 Colorful - Accent 5"/>
    <w:basedOn w:val="663"/>
    <w:uiPriority w:val="99"/>
    <w:qFormat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ffffff" w:fill="d8e2f2" w:themeFill="accent5" w:themeFillTint="34"/>
      </w:tcPr>
    </w:tblStylePr>
    <w:tblStylePr w:type="band1Vert">
      <w:tcPr>
        <w:shd w:val="clear" w:color="ffffff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87" w:customStyle="1">
    <w:name w:val="Grid Table 6 Colorful - Accent 6"/>
    <w:basedOn w:val="663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88" w:customStyle="1">
    <w:name w:val="Таблица-сетка 7 цветная1"/>
    <w:basedOn w:val="663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1Vert"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fffff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1"/>
    <w:basedOn w:val="663"/>
    <w:uiPriority w:val="99"/>
    <w:qFormat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ffffff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2"/>
    <w:basedOn w:val="663"/>
    <w:uiPriority w:val="99"/>
    <w:qFormat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fffff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3"/>
    <w:basedOn w:val="663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4"/>
    <w:basedOn w:val="663"/>
    <w:uiPriority w:val="99"/>
    <w:qFormat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ef2ca" w:themeFill="accent4" w:themeFillTint="34"/>
      </w:tcPr>
    </w:tblStylePr>
    <w:tblStylePr w:type="band1Vert">
      <w:tcPr>
        <w:shd w:val="clear" w:color="ffffff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ffff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5"/>
    <w:basedOn w:val="663"/>
    <w:uiPriority w:val="99"/>
    <w:qFormat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ffffff" w:fill="d8e2f2" w:themeFill="accent5" w:themeFillTint="34"/>
      </w:tcPr>
    </w:tblStylePr>
    <w:tblStylePr w:type="band1Vert">
      <w:tcPr>
        <w:shd w:val="clear" w:color="ffffff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6"/>
    <w:basedOn w:val="663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Список-таблица 1 светлая1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ebebe" w:themeFill="text1" w:themeFillTint="40"/>
      </w:tcPr>
    </w:tblStylePr>
    <w:tblStylePr w:type="band1Vert">
      <w:tcPr>
        <w:shd w:val="clear" w:color="ffffff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fbe" w:themeFill="accent4" w:themeFillTint="40"/>
      </w:tcPr>
    </w:tblStylePr>
    <w:tblStylePr w:type="band1Vert">
      <w:tcPr>
        <w:shd w:val="clear" w:color="ffffff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bf0" w:themeFill="accent5" w:themeFillTint="40"/>
      </w:tcPr>
    </w:tblStylePr>
    <w:tblStylePr w:type="band1Vert">
      <w:tcPr>
        <w:shd w:val="clear" w:color="ffffff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663"/>
    <w:uiPriority w:val="99"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Список-таблица 21"/>
    <w:basedOn w:val="663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663"/>
    <w:uiPriority w:val="99"/>
    <w:qFormat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663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663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663"/>
    <w:uiPriority w:val="99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663"/>
    <w:uiPriority w:val="99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663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9" w:customStyle="1">
    <w:name w:val="Список-таблица 31"/>
    <w:basedOn w:val="66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663"/>
    <w:uiPriority w:val="99"/>
    <w:qFormat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66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663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66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663"/>
    <w:uiPriority w:val="99"/>
    <w:qFormat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663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Список-таблица 41"/>
    <w:basedOn w:val="66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663"/>
    <w:uiPriority w:val="9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663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663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663"/>
    <w:uiPriority w:val="9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663"/>
    <w:uiPriority w:val="9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663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Список-таблица 5 темная1"/>
    <w:basedOn w:val="663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ffff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4" w:customStyle="1">
    <w:name w:val="List Table 5 Dark - Accent 1"/>
    <w:basedOn w:val="663"/>
    <w:uiPriority w:val="99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5" w:customStyle="1">
    <w:name w:val="List Table 5 Dark - Accent 2"/>
    <w:basedOn w:val="663"/>
    <w:uiPriority w:val="99"/>
    <w:qFormat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ffff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6" w:customStyle="1">
    <w:name w:val="List Table 5 Dark - Accent 3"/>
    <w:basedOn w:val="663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7" w:customStyle="1">
    <w:name w:val="List Table 5 Dark - Accent 4"/>
    <w:basedOn w:val="663"/>
    <w:uiPriority w:val="99"/>
    <w:qFormat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ffff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8" w:customStyle="1">
    <w:name w:val="List Table 5 Dark - Accent 5"/>
    <w:basedOn w:val="663"/>
    <w:uiPriority w:val="99"/>
    <w:qFormat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ffff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9" w:customStyle="1">
    <w:name w:val="List Table 5 Dark - Accent 6"/>
    <w:basedOn w:val="663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0" w:customStyle="1">
    <w:name w:val="Список-таблица 6 цветная1"/>
    <w:basedOn w:val="663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1Vert"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31" w:customStyle="1">
    <w:name w:val="List Table 6 Colorful - Accent 1"/>
    <w:basedOn w:val="663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32" w:customStyle="1">
    <w:name w:val="List Table 6 Colorful - Accent 2"/>
    <w:basedOn w:val="663"/>
    <w:uiPriority w:val="99"/>
    <w:qFormat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33" w:customStyle="1">
    <w:name w:val="List Table 6 Colorful - Accent 3"/>
    <w:basedOn w:val="663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34" w:customStyle="1">
    <w:name w:val="List Table 6 Colorful - Accent 4"/>
    <w:basedOn w:val="663"/>
    <w:uiPriority w:val="99"/>
    <w:qFormat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efbe" w:themeFill="accent4" w:themeFillTint="40"/>
      </w:tcPr>
    </w:tblStylePr>
    <w:tblStylePr w:type="band1Vert">
      <w:tcPr>
        <w:shd w:val="clear" w:color="ffffff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35" w:customStyle="1">
    <w:name w:val="List Table 6 Colorful - Accent 5"/>
    <w:basedOn w:val="663"/>
    <w:uiPriority w:val="99"/>
    <w:qFormat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0dbf0" w:themeFill="accent5" w:themeFillTint="40"/>
      </w:tcPr>
    </w:tblStylePr>
    <w:tblStylePr w:type="band1Vert">
      <w:tcPr>
        <w:shd w:val="clear" w:color="ffffff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36" w:customStyle="1">
    <w:name w:val="List Table 6 Colorful - Accent 6"/>
    <w:basedOn w:val="663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37" w:customStyle="1">
    <w:name w:val="Список-таблица 7 цветная1"/>
    <w:basedOn w:val="663"/>
    <w:uiPriority w:val="99"/>
    <w:qFormat/>
    <w:tblPr>
      <w:tblBorders>
        <w:right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1Vert"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fffff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1"/>
    <w:basedOn w:val="663"/>
    <w:uiPriority w:val="99"/>
    <w:qFormat/>
    <w:tblPr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2"/>
    <w:basedOn w:val="663"/>
    <w:uiPriority w:val="99"/>
    <w:qFormat/>
    <w:tblPr>
      <w:tblBorders>
        <w:right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fffff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3"/>
    <w:basedOn w:val="663"/>
    <w:uiPriority w:val="99"/>
    <w:qFormat/>
    <w:tblPr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4"/>
    <w:basedOn w:val="663"/>
    <w:uiPriority w:val="99"/>
    <w:qFormat/>
    <w:tblPr>
      <w:tblBorders>
        <w:right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efbe" w:themeFill="accent4" w:themeFillTint="40"/>
      </w:tcPr>
    </w:tblStylePr>
    <w:tblStylePr w:type="band1Vert">
      <w:tcPr>
        <w:shd w:val="clear" w:color="ffffff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ffff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5"/>
    <w:basedOn w:val="663"/>
    <w:uiPriority w:val="99"/>
    <w:qFormat/>
    <w:tblPr>
      <w:tblBorders>
        <w:right w:val="single" w:color="8E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0dbf0" w:themeFill="accent5" w:themeFillTint="40"/>
      </w:tcPr>
    </w:tblStylePr>
    <w:tblStylePr w:type="band1Vert">
      <w:tcPr>
        <w:shd w:val="clear" w:color="ffffff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ffffff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6"/>
    <w:basedOn w:val="663"/>
    <w:uiPriority w:val="99"/>
    <w:qFormat/>
    <w:tblPr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ned - Accent"/>
    <w:basedOn w:val="663"/>
    <w:uiPriority w:val="99"/>
    <w:qFormat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</w:style>
  <w:style w:type="table" w:styleId="845" w:customStyle="1">
    <w:name w:val="Lined - Accent 1"/>
    <w:basedOn w:val="663"/>
    <w:uiPriority w:val="99"/>
    <w:qFormat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</w:style>
  <w:style w:type="table" w:styleId="846" w:customStyle="1">
    <w:name w:val="Lined - Accent 2"/>
    <w:basedOn w:val="663"/>
    <w:uiPriority w:val="99"/>
    <w:qFormat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</w:style>
  <w:style w:type="table" w:styleId="847" w:customStyle="1">
    <w:name w:val="Lined - Accent 3"/>
    <w:basedOn w:val="663"/>
    <w:uiPriority w:val="99"/>
    <w:qFormat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8" w:customStyle="1">
    <w:name w:val="Lined - Accent 4"/>
    <w:basedOn w:val="663"/>
    <w:uiPriority w:val="99"/>
    <w:qFormat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9" w:customStyle="1">
    <w:name w:val="Lined - Accent 5"/>
    <w:basedOn w:val="663"/>
    <w:uiPriority w:val="99"/>
    <w:qFormat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50" w:customStyle="1">
    <w:name w:val="Lined - Accent 6"/>
    <w:basedOn w:val="663"/>
    <w:uiPriority w:val="99"/>
    <w:qFormat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51" w:customStyle="1">
    <w:name w:val="Bordered &amp; Lined - Accent"/>
    <w:basedOn w:val="663"/>
    <w:uiPriority w:val="99"/>
    <w:qFormat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</w:style>
  <w:style w:type="table" w:styleId="852" w:customStyle="1">
    <w:name w:val="Bordered &amp; Lined - Accent 1"/>
    <w:basedOn w:val="663"/>
    <w:uiPriority w:val="99"/>
    <w:qFormat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</w:style>
  <w:style w:type="table" w:styleId="853" w:customStyle="1">
    <w:name w:val="Bordered &amp; Lined - Accent 2"/>
    <w:basedOn w:val="663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</w:style>
  <w:style w:type="table" w:styleId="854" w:customStyle="1">
    <w:name w:val="Bordered &amp; Lined - Accent 3"/>
    <w:basedOn w:val="663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55" w:customStyle="1">
    <w:name w:val="Bordered &amp; Lined - Accent 4"/>
    <w:basedOn w:val="663"/>
    <w:uiPriority w:val="99"/>
    <w:qFormat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56" w:customStyle="1">
    <w:name w:val="Bordered &amp; Lined - Accent 5"/>
    <w:basedOn w:val="663"/>
    <w:uiPriority w:val="99"/>
    <w:qFormat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57" w:customStyle="1">
    <w:name w:val="Bordered &amp; Lined - Accent 6"/>
    <w:basedOn w:val="663"/>
    <w:uiPriority w:val="99"/>
    <w:qFormat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58" w:customStyle="1">
    <w:name w:val="Bordered"/>
    <w:basedOn w:val="663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59" w:customStyle="1">
    <w:name w:val="Bordered - Accent 1"/>
    <w:basedOn w:val="66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0" w:customStyle="1">
    <w:name w:val="Bordered - Accent 2"/>
    <w:basedOn w:val="66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61" w:customStyle="1">
    <w:name w:val="Bordered - Accent 3"/>
    <w:basedOn w:val="66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2" w:customStyle="1">
    <w:name w:val="Bordered - Accent 4"/>
    <w:basedOn w:val="66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63" w:customStyle="1">
    <w:name w:val="Bordered - Accent 5"/>
    <w:basedOn w:val="66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64" w:customStyle="1">
    <w:name w:val="Bordered - Accent 6"/>
    <w:basedOn w:val="66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5" w:customStyle="1">
    <w:name w:val="Текст сноски Знак"/>
    <w:link w:val="670"/>
    <w:uiPriority w:val="99"/>
    <w:qFormat/>
    <w:rPr>
      <w:sz w:val="18"/>
    </w:rPr>
  </w:style>
  <w:style w:type="character" w:styleId="866" w:customStyle="1">
    <w:name w:val="Текст концевой сноски Знак"/>
    <w:link w:val="668"/>
    <w:uiPriority w:val="99"/>
    <w:qFormat/>
    <w:rPr>
      <w:sz w:val="20"/>
    </w:rPr>
  </w:style>
  <w:style w:type="paragraph" w:styleId="867" w:customStyle="1">
    <w:name w:val="TOC Heading"/>
    <w:uiPriority w:val="39"/>
    <w:unhideWhenUsed/>
    <w:qFormat/>
    <w:rPr>
      <w:rFonts w:ascii="Times New Roman" w:hAnsi="Times New Roman" w:eastAsia="Times New Roman" w:cs="Times New Roman"/>
      <w:lang w:val="ru-RU" w:eastAsia="ru-RU" w:bidi="ar-SA"/>
    </w:rPr>
  </w:style>
  <w:style w:type="paragraph" w:styleId="868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69" w:customStyle="1">
    <w:name w:val="Знак"/>
    <w:basedOn w:val="652"/>
    <w:uiPriority w:val="0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70" w:customStyle="1">
    <w:name w:val="Верхний колонтитул Знак"/>
    <w:link w:val="672"/>
    <w:uiPriority w:val="99"/>
    <w:qFormat/>
    <w:rPr>
      <w:sz w:val="24"/>
      <w:szCs w:val="24"/>
    </w:rPr>
  </w:style>
  <w:style w:type="character" w:styleId="871" w:customStyle="1">
    <w:name w:val="Нижний колонтитул Знак"/>
    <w:link w:val="683"/>
    <w:uiPriority w:val="0"/>
    <w:qFormat/>
    <w:rPr>
      <w:sz w:val="24"/>
      <w:szCs w:val="24"/>
    </w:rPr>
  </w:style>
  <w:style w:type="paragraph" w:styleId="872" w:customStyle="1">
    <w:name w:val="ConsPlusTitle"/>
    <w:uiPriority w:val="0"/>
    <w:qFormat/>
    <w:pPr>
      <w:widowControl w:val="off"/>
    </w:pPr>
    <w:rPr>
      <w:rFonts w:ascii="Times New Roman" w:hAnsi="Times New Roman" w:eastAsia="Calibri" w:cs="Times New Roman"/>
      <w:b/>
      <w:bCs/>
      <w:sz w:val="28"/>
      <w:szCs w:val="28"/>
      <w:lang w:val="ru-RU" w:eastAsia="ru-RU" w:bidi="ar-SA"/>
    </w:rPr>
  </w:style>
  <w:style w:type="table" w:styleId="873" w:customStyle="1">
    <w:name w:val="Сетка таблицы1"/>
    <w:basedOn w:val="663"/>
    <w:uiPriority w:val="59"/>
    <w:qFormat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4" w:customStyle="1">
    <w:name w:val="ConsPlusNormal"/>
    <w:uiPriority w:val="0"/>
    <w:qFormat/>
    <w:pPr>
      <w:widowControl w:val="off"/>
    </w:pPr>
    <w:rPr>
      <w:rFonts w:ascii="Calibri" w:hAnsi="Calibri" w:eastAsia="Times New Roman" w:cs="Calibri"/>
      <w:sz w:val="22"/>
      <w:lang w:val="ru-RU" w:eastAsia="ru-RU" w:bidi="ar-SA"/>
    </w:rPr>
  </w:style>
  <w:style w:type="paragraph" w:styleId="875" w:customStyle="1">
    <w:name w:val="Знак1"/>
    <w:basedOn w:val="652"/>
    <w:uiPriority w:val="0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76" w:customStyle="1">
    <w:name w:val="Сетка таблицы2"/>
    <w:basedOn w:val="663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7" w:customStyle="1">
    <w:name w:val="Знак2"/>
    <w:basedOn w:val="652"/>
    <w:uiPriority w:val="0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78" w:customStyle="1">
    <w:name w:val="Сетка таблицы11"/>
    <w:basedOn w:val="663"/>
    <w:uiPriority w:val="59"/>
    <w:qFormat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9" w:customStyle="1">
    <w:name w:val="Unresolved Mention"/>
    <w:basedOn w:val="662"/>
    <w:uiPriority w:val="99"/>
    <w:semiHidden/>
    <w:unhideWhenUsed/>
    <w:qFormat/>
    <w:rPr>
      <w:color w:val="605e5c"/>
      <w:shd w:val="clear" w:color="auto" w:fill="e1dfdd"/>
    </w:rPr>
  </w:style>
  <w:style w:type="numbering" w:styleId="88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revision>469</cp:revision>
  <dcterms:created xsi:type="dcterms:W3CDTF">2023-09-14T21:03:00Z</dcterms:created>
  <dcterms:modified xsi:type="dcterms:W3CDTF">2025-10-17T14:17:20Z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