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bookmarkStart w:id="0" w:name="_GoBack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 Общая информация: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Управление по туризму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«Об утверждении Порядка предоставления из областного бюджета грантов в форме субсидий на поддержку реализации общественных инициатив, напр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авленных на развитие туристской инфраструктуры»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cs="Times New Roman"/>
          <w:sz w:val="26"/>
          <w:szCs w:val="26"/>
        </w:rPr>
        <w:t xml:space="preserve">акта: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начало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«17» июня 2025 г., окончание «1» июля 2025 г.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</w:t>
      </w:r>
      <w:r>
        <w:rPr>
          <w:rFonts w:ascii="Times New Roman" w:hAnsi="Times New Roman" w:cs="Times New Roman"/>
          <w:sz w:val="26"/>
          <w:szCs w:val="26"/>
        </w:rPr>
        <w:t xml:space="preserve">та: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color w:val="00b050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Средняя. Проект нормативного правового акта содержит положения, расширяющие перечень направлений в сфере туризма, позволяющих юридическим лицам 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(за исключением некоммерческих организаций, являющихся государственными (муниципальными) учреждениями) и ин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дивидуальным предпринимателям воспользоваться мерами государственной поддержки.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Кац Виктория Борисовна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Должность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:</w:t>
      </w:r>
      <w:r>
        <w:rPr>
          <w:rFonts w:ascii="Times New Roman" w:hAnsi="Times New Roman" w:cs="Times New Roman"/>
          <w:sz w:val="26"/>
          <w:szCs w:val="26"/>
          <w:lang w:eastAsia="ru-RU" w:bidi="ar-SA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заместитель начальника управления – начальник отдела государственного регулирования туристской деятельности реализации государственных программ управления по туризму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(4722) 23-58-63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:</w:t>
      </w:r>
      <w:r>
        <w:rPr>
          <w:rFonts w:ascii="Times New Roman" w:hAnsi="Times New Roman" w:cs="Times New Roman"/>
          <w:i/>
          <w:iCs/>
          <w:color w:val="00b05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ka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ts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_vb@belregion.ru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 w:bidi="ar-SA"/>
        </w:rPr>
        <w:t xml:space="preserve">Недостаток обустроенных 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пляжей на берегах рек, озер, водохранилищ или во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дных объектов, модернизированных туристских ресурсов в составе национального туристского маршрута, круглогодично функционирующих бассейнов, кемпингов, кемпстоянок, причальной инфраструктуры, адаптированных к потребностям лиц с ограниченными возможностями з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доровья, в том числе снаряжения, инвентаря, экипировки, товаров для отдыха, обустроенных детских и спортивных зон отдыха</w:t>
      </w:r>
      <w:bookmarkStart w:id="1" w:name="P43"/>
      <w:r>
        <w:rPr>
          <w:rFonts w:ascii="Times New Roman" w:hAnsi="Times New Roman" w:cs="Times New Roman"/>
          <w:sz w:val="26"/>
          <w:szCs w:val="26"/>
        </w:rPr>
      </w:r>
      <w:bookmarkEnd w:id="1"/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, пунктов общественного питания.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анная проблема выявлена в результате мониторинг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 общественных инициатив, направленных на развитие туристкой инфраструктуры</w:t>
      </w:r>
      <w:r>
        <w:rPr>
          <w:rFonts w:ascii="Times New Roman" w:hAnsi="Times New Roman" w:eastAsia="Calibri" w:cs="Times New Roman"/>
          <w:i/>
          <w:color w:val="ff0000"/>
          <w:sz w:val="26"/>
          <w:szCs w:val="26"/>
          <w:u w:val="singl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 Негативные эффекты, возникающие в связи с наличием рассматриваемой проблемы: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37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 w:bidi="ar-SA"/>
        </w:rPr>
        <w:t xml:space="preserve">Недостаток современной, обустроенной, модернизированной 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туристской инфраструктуры, в том числе 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на берегах рек, озер, водохранилищ или 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водных объектов, снижает степень привлекательности их использования, а также доступности для населения, в том числе лиц с ограниченными возможностями здоровья.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Анализ опыта иных субъектов Российской Федерации показал, что органами исполнительной власти большинства субъектов Российской Федерации ведутся работы по принятию аналогичных нормативных правовых актов, предусм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атривающих расширение перечня направлений в сфере туризма, позволяющих юридическим лицам 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(за исключением некоммерческих организаций, являющихся государственными (муниципальными) учреждениями) и индивидуальным предпринимателям воспользоваться мерами государ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ственной поддержки.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Цели вводимого правового регулирования и измеримые показатели их достижения: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Оказание государственной поддержки</w:t>
      </w:r>
      <w:r>
        <w:rPr>
          <w:rFonts w:ascii="Times New Roman" w:hAnsi="Times New Roman" w:cs="Times New Roman"/>
          <w:i/>
          <w:iCs/>
          <w:color w:val="00b05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ю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ридическим лицам (за исключением некоммерческих организаций, являющихся государственными (муниципальными) учреждениями) или индивидуальными предпринимателями, подавшими заявку на участие в отборе на предоставление грантов в форме субсидий на поддержку реал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 постановление Правительства Российской Федерации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25 октября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 xml:space="preserve">тов в форме субсидий»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в соответствии с государственной </w:t>
      </w:r>
      <w:hyperlink r:id="rId11" w:tooltip="consultantplus://offline/ref=A7896285B32E53E358893D05FCC41BD6941E02930E2A2B0B0609C123CE76062CF51252070F6939561E5BF053D2C05CCD8D95DF0F069F0AFEi4g9H" w:history="1">
        <w:r>
          <w:rPr>
            <w:rStyle w:val="878"/>
            <w:rFonts w:ascii="Times New Roman" w:hAnsi="Times New Roman" w:eastAsia="Calibri" w:cs="Times New Roman"/>
            <w:i/>
            <w:iCs/>
            <w:color w:val="auto"/>
            <w:sz w:val="26"/>
            <w:szCs w:val="26"/>
          </w:rPr>
          <w:t xml:space="preserve">программой</w:t>
        </w:r>
      </w:hyperlink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Российской Федерации «Развитие туризма», утвержденной постановлением Правительства Российской Федерации от 24 декабря 2021 года № 2439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br/>
        <w:t xml:space="preserve">«Об утверждении государственной программы Российской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Федерации «Развитие туризма»;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государственной </w:t>
      </w:r>
      <w:hyperlink r:id="rId12" w:tooltip="consultantplus://offline/ref=A7896285B32E53E358892308EAA845DC911659990A2C255B5D5BC77491260079B55254524C2D34561E50A403979E059EC1DED20E10830AFF540FAD7Ci0gFH" w:history="1">
        <w:r>
          <w:rPr>
            <w:rStyle w:val="878"/>
            <w:rFonts w:ascii="Times New Roman" w:hAnsi="Times New Roman" w:eastAsia="Calibri" w:cs="Times New Roman"/>
            <w:i/>
            <w:iCs/>
            <w:color w:val="auto"/>
            <w:sz w:val="26"/>
            <w:szCs w:val="26"/>
          </w:rPr>
          <w:t xml:space="preserve">программой</w:t>
        </w:r>
      </w:hyperlink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Белгородской области «Развитие экономического потенциала и формирование благоприятного предпринимательского климата в Бел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городской области», утвержденной постановлением Правительства Белгородской области от 25 декабря 2023 года № 750-пп «Об утверждении государственной программы Белгородской области «Развитие экономического потенциала и формирование благоприятного предпринима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тельского климата в Белгородской области».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31 декабря 2025 года.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Отсутствует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 Описание предлагаемого правового регулиро</w:t>
      </w:r>
      <w:r>
        <w:rPr>
          <w:rFonts w:ascii="Times New Roman" w:hAnsi="Times New Roman" w:cs="Times New Roman"/>
          <w:sz w:val="26"/>
          <w:szCs w:val="26"/>
        </w:rPr>
        <w:t xml:space="preserve">вания: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Проектом постановления Правительства Белгородской области 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«Об утверждении Порядка предоставления из областного бюджета грантов в форме субсидий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на поддержку реализации общественных инициатив, направленных на развитие туристской инфраструктуры» утверждается </w:t>
      </w:r>
      <w:hyperlink w:tooltip="#P31" w:anchor="P31" w:history="1">
        <w:r>
          <w:rPr>
            <w:rFonts w:ascii="Times New Roman" w:hAnsi="Times New Roman" w:cs="Times New Roman"/>
            <w:i/>
            <w:sz w:val="26"/>
            <w:szCs w:val="26"/>
            <w:u w:val="single"/>
          </w:rPr>
          <w:t xml:space="preserve">Порядок</w:t>
        </w:r>
      </w:hyperlink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 предоставления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из областного бюджета 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грантов, содержащий: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- общие положения;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- п</w:t>
      </w:r>
      <w:r>
        <w:rPr>
          <w:rFonts w:ascii="Times New Roman" w:hAnsi="Times New Roman" w:cs="Times New Roman" w:eastAsiaTheme="minorEastAsia"/>
          <w:i/>
          <w:sz w:val="26"/>
          <w:szCs w:val="26"/>
          <w:u w:val="single"/>
          <w:lang w:eastAsia="ru-RU"/>
        </w:rPr>
        <w:t xml:space="preserve">орядок проведения отбора получателей субсидии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- условия и порядок предоставления субсидии;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- требования к отчетности;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37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- требования об осуществлении контроля (мониторинга) за соблюдением условий и порядка предоставления субсидий и ответственности за их нар</w:t>
      </w:r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ушение.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Гранты в форме субсидий на конкурсной основе 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предоставляются юридическим лицам (за исключением некоммерческих организаций, являющихся государственными (муниципальными) учреждениями) 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и (или) индивидуальным предпринимателям в 2025 году по следующим 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направлениям: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- создание и (или) развитие пляжей на берегах рек, озер, водохранилищ или иных водных объектов;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- создание и (или) развитие национальных туристских маршрутов, определенных в соответствии с </w:t>
      </w:r>
      <w:hyperlink r:id="rId13" w:tooltip="consultantplus://offline/ref=92006FFAEE161C5640293E4722EDB37ECEEF505CEF7551BBBC6E8E41329ADE479B60D10EF6DD62B7C208B6C4CF143375A8AF482ADAFF889Bh6MFL" w:history="1">
        <w:r>
          <w:rPr>
            <w:rFonts w:ascii="Times New Roman" w:hAnsi="Times New Roman" w:cs="Times New Roman"/>
            <w:i/>
            <w:iCs/>
            <w:sz w:val="26"/>
            <w:szCs w:val="26"/>
            <w:lang w:eastAsia="ru-RU"/>
          </w:rPr>
          <w:t xml:space="preserve">Правилами</w:t>
        </w:r>
      </w:hyperlink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 ноября 2021 года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№ 2086 «Об утверждении Правил определения национальных туристских маршрутов»;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развитие инфраструктуры туризма в рамках проектов юридических лиц и индивидуальных предпринимателей;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создание объектов кемпинг-размещения, кемпстоянок, а также приобретение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можностями здоровья, создание системы визуальной информации 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  <w:t xml:space="preserve">и навигации;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создание некапитальной нестационарной причальной инфраструктуры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-1"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-1" w:firstLine="709"/>
        <w:jc w:val="both"/>
        <w:tabs>
          <w:tab w:val="left" w:pos="963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 Альтернативные варианты решения проблемы: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-1" w:firstLine="709"/>
        <w:jc w:val="both"/>
        <w:tabs>
          <w:tab w:val="left" w:pos="9638" w:leader="none"/>
        </w:tabs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- развитие туристской инфраструктуры за счет средств субъектов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предпринимательской деятельности.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  <w:pBdr>
          <w:right w:val="none" w:color="000000" w:sz="4" w:space="1"/>
        </w:pBd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right="57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Оптимальным вариантом решения проблемы считаем принятие проекта постановления, предусматривающего утверждение </w:t>
      </w:r>
      <w:hyperlink w:tooltip="#P31" w:anchor="P31" w:history="1">
        <w:r>
          <w:rPr>
            <w:rFonts w:ascii="Times New Roman" w:hAnsi="Times New Roman" w:cs="Times New Roman"/>
            <w:i/>
            <w:sz w:val="26"/>
            <w:szCs w:val="26"/>
            <w:u w:val="single"/>
          </w:rPr>
          <w:t xml:space="preserve">Порядка</w:t>
        </w:r>
      </w:hyperlink>
      <w:r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 xml:space="preserve"> предоставления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заявку на участие в отборе на предоставление грантов в форме субсидий на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поддержку реализации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бюджета. Предусмотренная постановлением государственная мера поддержки позволит снизить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финансовую нагрузку на хозяйствующие в данной сфере субъекты предпринимательской деятельности,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будет способствовать развитию туристической инфраструктуры Белгородская область в целом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  <w:pBdr>
          <w:right w:val="none" w:color="000000" w:sz="4" w:space="1"/>
        </w:pBd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  <w:pBdr>
          <w:right w:val="none" w:color="000000" w:sz="4" w:space="1"/>
        </w:pBd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9"/>
        <w:gridCol w:w="2127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9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Юридические лица (за исключением некоммерческих организаций, являющихся государственными (муниципальными) учреждениями) или индивидуальные предприниматели, подавшие заявку на участие в отборе на предоставление грантов в форме субсидий на поддержку реализа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ции общественных инициатив, направленных на развитие туристской инфраструктуры, источником финансового обеспечения которых являются средства областного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По результатам оценки потенциальных участников отбора не менее 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3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ппа участников отношений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преимуществ, обязанностей, ограничений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изменения содержания существующих обязанностей и ограничений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расходов/доходов,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издержек/выгод,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Юридические лица (за исключением некоммерческих органи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заций, являющихся государственными (муниципальными) учреждениями) или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индивидуальный предприниматель, подавший заявку на участие в конкурсе на предоставление грантов в форме субсидий на поддержку реализации общественных инициатив, направленных на развитие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туристской инфраструктуры, источником финансового обеспечения которых являются средства областного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Преимущество: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Возможность получения грантовой поддержки из областного бюджета на цели и в размере, не предусмотренные действующими программами госуда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рственной поддержки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Объем поддержки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54 468 тыс. 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>
          <w:cantSplit/>
          <w:trHeight w:val="2505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3289" w:type="dxa"/>
            <w:vAlign w:val="center"/>
            <w:vMerge w:val="continue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color w:val="ff0000"/>
                <w:sz w:val="27"/>
                <w:szCs w:val="27"/>
              </w:rPr>
            </w:pPr>
            <w:r>
              <w:rPr>
                <w:rFonts w:eastAsia="Calibri"/>
                <w:i/>
                <w:iCs/>
                <w:color w:val="ff0000"/>
                <w:sz w:val="27"/>
                <w:szCs w:val="27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Обязанность: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Start w:id="2" w:name="_Hlk128388422"/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bookmarkStart w:id="3" w:name="_Hlk132986081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Предоставление  пакета документов необходимых для участия в </w:t>
            </w:r>
            <w:bookmarkEnd w:id="2"/>
            <w:r>
              <w:rPr>
                <w:rFonts w:ascii="Times New Roman" w:hAnsi="Times New Roman" w:cs="Times New Roman"/>
                <w:sz w:val="26"/>
                <w:szCs w:val="26"/>
              </w:rPr>
            </w:r>
            <w:bookmarkEnd w:id="3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Общая стоимость требования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ind w:right="57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17,3 тыс. руб.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Описание новых или изменения существующих ф</w:t>
            </w: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ункций, полномочий, обязанностей или прав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Управление по туризму Белгородской области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Осуществляются в рамках ранее установленных полномочий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Дополнительные трудозатраты не требуются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52"/>
        <w:gridCol w:w="27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</w:t>
            </w: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елгородской области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тыс. руб.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Проведение конкурсного отбора, подготовка документов для выдачи субсидий, осуществление контроля за соблюдением условий и порядка предоставления субсидий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Выдача </w:t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субсидий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Финансирование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на 2025год –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ind w:right="57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  <w:t xml:space="preserve">54 468,0 тыс. руб.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(средства областного бюджета)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отсутствует.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Риски решения проблемы</w:t>
            </w: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  <w:t xml:space="preserve">Предоставление неполного пакета документов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Низкая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Утвержденный проектом постановления исчерпывающий перечень документов позволит существенно снизить данный риск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  <w:t xml:space="preserve">Отсутствие заявок на участие в отборе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Низкая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Информирование участников отбора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Сроки реализации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Описание ожидаемого результата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Объем финансиро- 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Источники финансиро- 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</w:rPr>
              <w:t xml:space="preserve">Опубликование текста принятого постановления Правительства области «Об утверждении Порядка предоставления из областного бюджета грантов в форме субсидий на поддержку реализации общественных инициатив, напр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</w:rPr>
              <w:t xml:space="preserve">авленных на развитие туристской инфраструктуры»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  <w:lang w:val="en-US"/>
              </w:rPr>
              <w:t xml:space="preserve">II</w:t>
            </w: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 кв.2025 г.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  <w:t xml:space="preserve">Надлежащее официальное опубликование нормативного правового акта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</w:rPr>
              <w:t xml:space="preserve">Информирование участников конкурса об утверждении Порядка предоставления из областного бюджета грантов в форме субсидий на п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trike w:val="0"/>
                <w:sz w:val="26"/>
                <w:szCs w:val="26"/>
              </w:rPr>
              <w:t xml:space="preserve">оддержку реализации общественных инициатив, направленных на развитие туристской инфраструктуры»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  <w:lang w:val="en-US"/>
              </w:rPr>
              <w:t xml:space="preserve">III</w:t>
            </w: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 кв.2025 г.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  <w:t xml:space="preserve">Формирование заявки на участие в отборе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hanging="28"/>
              <w:jc w:val="center"/>
              <w:widowControl w:val="off"/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–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</w:tbl>
    <w:p>
      <w:pPr>
        <w:ind w:firstLine="709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rPr>
          <w:rFonts w:ascii="Times New Roman" w:hAnsi="Times New Roman" w:cs="Times New Roman"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7. Ожидаемые измеримые результаты правового регулирования:*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84"/>
        <w:gridCol w:w="1955"/>
        <w:gridCol w:w="2802"/>
        <w:gridCol w:w="1687"/>
      </w:tblGrid>
      <w:tr>
        <w:trPr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Ключевые показатели достижения целей, заявленных в предложенном регулировании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Количественное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значение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ключевых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показателей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trike w:val="0"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Оказание государственной поддержки в виде предоставления субсидий из областного бюджета </w:t>
            </w: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  <w:t xml:space="preserve">юридическим лицам (за исключением некоммерческих организаций, являющихся государственными (муниципальными) учреждениями) или индивидуальным предпринимателям, подавшим з</w:t>
            </w:r>
            <w: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  <w:t xml:space="preserve">аявку на участие в отборе на предоставление грантов в форме субсидий на поддержку реализации общественных инициатив, направленных на развитие туристской инфраструктуры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Не менее 1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trike w:val="0"/>
                <w:sz w:val="26"/>
                <w:szCs w:val="26"/>
              </w:rPr>
              <w:t xml:space="preserve">Оценка поступающих заявок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декабрь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iCs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trike w:val="0"/>
                <w:sz w:val="26"/>
                <w:szCs w:val="26"/>
              </w:rPr>
              <w:t xml:space="preserve">2025 года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rPr>
          <w:rFonts w:ascii="Times New Roman" w:hAnsi="Times New Roman" w:cs="Times New Roman"/>
          <w:b/>
          <w:bCs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trike w:val="0"/>
          <w:sz w:val="26"/>
          <w:szCs w:val="26"/>
          <w:lang w:val="en-US"/>
        </w:rPr>
        <w:t xml:space="preserve">III</w:t>
      </w:r>
      <w:r>
        <w:rPr>
          <w:rFonts w:ascii="Times New Roman" w:hAnsi="Times New Roman" w:eastAsia="Calibri" w:cs="Times New Roman"/>
          <w:bCs/>
          <w:strike w:val="0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trike w:val="0"/>
          <w:sz w:val="26"/>
          <w:szCs w:val="26"/>
        </w:rPr>
        <w:t xml:space="preserve">кв.2025 г.</w:t>
      </w:r>
      <w:r>
        <w:rPr>
          <w:rFonts w:ascii="Times New Roman" w:hAnsi="Times New Roman" w:cs="Times New Roman"/>
          <w:strike w:val="0"/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709" w:right="709" w:bottom="851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num w:numId="1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Endnote Text Char"/>
    <w:link w:val="723"/>
    <w:uiPriority w:val="99"/>
    <w:rPr>
      <w:sz w:val="20"/>
    </w:rPr>
  </w:style>
  <w:style w:type="paragraph" w:styleId="67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78">
    <w:name w:val="Heading 1"/>
    <w:link w:val="727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679">
    <w:name w:val="Heading 2"/>
    <w:link w:val="728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680">
    <w:name w:val="Heading 3"/>
    <w:link w:val="72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681">
    <w:name w:val="Heading 4"/>
    <w:link w:val="73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682">
    <w:name w:val="Heading 5"/>
    <w:link w:val="73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683">
    <w:name w:val="Heading 6"/>
    <w:link w:val="73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684">
    <w:name w:val="Heading 7"/>
    <w:link w:val="73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685">
    <w:name w:val="Heading 8"/>
    <w:link w:val="73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686">
    <w:name w:val="Heading 9"/>
    <w:link w:val="73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table" w:styleId="703">
    <w:name w:val="Plain Table 1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6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6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>
    <w:name w:val="Grid Table 7 Colorful"/>
    <w:basedOn w:val="6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15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6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6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0">
    <w:name w:val="List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1">
    <w:name w:val="List Table 7 Colorful"/>
    <w:basedOn w:val="6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22" w:customStyle="1">
    <w:name w:val="Footnote Text Char"/>
    <w:uiPriority w:val="99"/>
    <w:rPr>
      <w:sz w:val="18"/>
    </w:rPr>
  </w:style>
  <w:style w:type="paragraph" w:styleId="723">
    <w:name w:val="endnote text"/>
    <w:basedOn w:val="677"/>
    <w:link w:val="724"/>
    <w:uiPriority w:val="99"/>
    <w:semiHidden/>
    <w:unhideWhenUsed/>
  </w:style>
  <w:style w:type="character" w:styleId="724" w:customStyle="1">
    <w:name w:val="Текст концевой сноски Знак"/>
    <w:link w:val="723"/>
    <w:uiPriority w:val="99"/>
    <w:rPr>
      <w:sz w:val="20"/>
    </w:rPr>
  </w:style>
  <w:style w:type="character" w:styleId="725">
    <w:name w:val="endnote reference"/>
    <w:basedOn w:val="687"/>
    <w:uiPriority w:val="99"/>
    <w:semiHidden/>
    <w:unhideWhenUsed/>
    <w:rPr>
      <w:vertAlign w:val="superscript"/>
    </w:rPr>
  </w:style>
  <w:style w:type="paragraph" w:styleId="726">
    <w:name w:val="table of figures"/>
    <w:basedOn w:val="677"/>
    <w:next w:val="677"/>
    <w:uiPriority w:val="99"/>
    <w:unhideWhenUsed/>
  </w:style>
  <w:style w:type="character" w:styleId="727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677"/>
    <w:pPr>
      <w:contextualSpacing/>
      <w:ind w:left="720"/>
    </w:pPr>
    <w:rPr>
      <w:szCs w:val="20"/>
    </w:rPr>
  </w:style>
  <w:style w:type="paragraph" w:styleId="737">
    <w:name w:val="No Spacing"/>
    <w:link w:val="90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738">
    <w:name w:val="Title"/>
    <w:link w:val="739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739" w:customStyle="1">
    <w:name w:val="Заголовок Знак"/>
    <w:link w:val="738"/>
    <w:uiPriority w:val="10"/>
    <w:rPr>
      <w:sz w:val="48"/>
      <w:szCs w:val="48"/>
    </w:rPr>
  </w:style>
  <w:style w:type="paragraph" w:styleId="740">
    <w:name w:val="Subtitle"/>
    <w:link w:val="741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741" w:customStyle="1">
    <w:name w:val="Подзаголовок Знак"/>
    <w:link w:val="740"/>
    <w:uiPriority w:val="11"/>
    <w:rPr>
      <w:sz w:val="24"/>
      <w:szCs w:val="24"/>
    </w:rPr>
  </w:style>
  <w:style w:type="paragraph" w:styleId="742">
    <w:name w:val="Quote"/>
    <w:link w:val="743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>
    <w:name w:val="Header"/>
    <w:basedOn w:val="677"/>
    <w:link w:val="895"/>
    <w:pPr>
      <w:tabs>
        <w:tab w:val="center" w:pos="4677" w:leader="none"/>
        <w:tab w:val="right" w:pos="9355" w:leader="none"/>
      </w:tabs>
    </w:pPr>
  </w:style>
  <w:style w:type="character" w:styleId="747" w:customStyle="1">
    <w:name w:val="Header Char"/>
    <w:uiPriority w:val="99"/>
  </w:style>
  <w:style w:type="paragraph" w:styleId="748">
    <w:name w:val="Footer"/>
    <w:basedOn w:val="677"/>
    <w:link w:val="896"/>
    <w:pPr>
      <w:tabs>
        <w:tab w:val="center" w:pos="4677" w:leader="none"/>
        <w:tab w:val="right" w:pos="9355" w:leader="none"/>
      </w:tabs>
    </w:pPr>
  </w:style>
  <w:style w:type="character" w:styleId="749" w:customStyle="1">
    <w:name w:val="Footer Char"/>
    <w:uiPriority w:val="99"/>
  </w:style>
  <w:style w:type="paragraph" w:styleId="750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51" w:customStyle="1">
    <w:name w:val="Caption Char"/>
    <w:uiPriority w:val="99"/>
  </w:style>
  <w:style w:type="table" w:styleId="752">
    <w:name w:val="Table Grid"/>
    <w:basedOn w:val="688"/>
    <w:tblPr/>
  </w:style>
  <w:style w:type="table" w:styleId="753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8">
    <w:name w:val="Hyperlink"/>
    <w:uiPriority w:val="99"/>
    <w:unhideWhenUsed/>
    <w:rPr>
      <w:color w:val="0000ff"/>
      <w:u w:val="single"/>
    </w:rPr>
  </w:style>
  <w:style w:type="paragraph" w:styleId="879">
    <w:name w:val="footnote text"/>
    <w:link w:val="880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3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4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5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6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7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8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89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0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1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92" w:customStyle="1">
    <w:name w:val="ConsPlusNonformat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Cs w:val="22"/>
    </w:rPr>
  </w:style>
  <w:style w:type="paragraph" w:styleId="893">
    <w:name w:val="Balloon Text"/>
    <w:basedOn w:val="677"/>
    <w:semiHidden/>
    <w:rPr>
      <w:rFonts w:ascii="Tahoma" w:hAnsi="Tahoma"/>
      <w:sz w:val="16"/>
      <w:szCs w:val="16"/>
    </w:rPr>
  </w:style>
  <w:style w:type="paragraph" w:styleId="894" w:customStyle="1">
    <w:name w:val="Знак"/>
    <w:basedOn w:val="677"/>
    <w:pPr>
      <w:spacing w:after="160" w:line="240" w:lineRule="exact"/>
    </w:pPr>
    <w:rPr>
      <w:rFonts w:ascii="Verdana" w:hAnsi="Verdana"/>
      <w:szCs w:val="20"/>
      <w:lang w:val="en-US"/>
    </w:rPr>
  </w:style>
  <w:style w:type="character" w:styleId="895" w:customStyle="1">
    <w:name w:val="Верхний колонтитул Знак"/>
    <w:link w:val="746"/>
    <w:rPr>
      <w:sz w:val="24"/>
      <w:szCs w:val="24"/>
    </w:rPr>
  </w:style>
  <w:style w:type="character" w:styleId="896" w:customStyle="1">
    <w:name w:val="Нижний колонтитул Знак"/>
    <w:link w:val="748"/>
    <w:rPr>
      <w:sz w:val="24"/>
      <w:szCs w:val="24"/>
    </w:rPr>
  </w:style>
  <w:style w:type="paragraph" w:styleId="897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16"/>
      <w:szCs w:val="16"/>
    </w:rPr>
  </w:style>
  <w:style w:type="paragraph" w:styleId="898" w:customStyle="1">
    <w:name w:val="Знак"/>
    <w:basedOn w:val="677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paragraph" w:styleId="899">
    <w:name w:val="Normal (Web)"/>
    <w:basedOn w:val="677"/>
    <w:uiPriority w:val="99"/>
    <w:semiHidden/>
    <w:unhideWhenUsed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0" w:customStyle="1">
    <w:name w:val="headertext"/>
    <w:basedOn w:val="677"/>
    <w:qFormat/>
    <w:pPr>
      <w:spacing w:beforeAutospacing="1" w:after="16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901" w:customStyle="1">
    <w:name w:val="ConsPlusTitle"/>
    <w:uiPriority w:val="99"/>
    <w:qFormat/>
    <w:pPr>
      <w:widowControl w:val="off"/>
    </w:pPr>
    <w:rPr>
      <w:rFonts w:ascii="Calibri" w:hAnsi="Calibri" w:cs="Calibri"/>
      <w:b/>
      <w:color w:val="00000a"/>
      <w:sz w:val="22"/>
    </w:rPr>
  </w:style>
  <w:style w:type="paragraph" w:styleId="902">
    <w:name w:val="Body Text 3"/>
    <w:basedOn w:val="677"/>
    <w:link w:val="903"/>
    <w:uiPriority w:val="99"/>
    <w:semiHidden/>
    <w:unhideWhenUsed/>
    <w:pPr>
      <w:spacing w:after="120"/>
    </w:pPr>
    <w:rPr>
      <w:sz w:val="16"/>
      <w:szCs w:val="16"/>
    </w:rPr>
  </w:style>
  <w:style w:type="character" w:styleId="903" w:customStyle="1">
    <w:name w:val="Основной текст 3 Знак"/>
    <w:basedOn w:val="687"/>
    <w:link w:val="902"/>
    <w:uiPriority w:val="99"/>
    <w:semiHidden/>
    <w:rPr>
      <w:sz w:val="16"/>
      <w:szCs w:val="16"/>
      <w:lang w:eastAsia="en-US" w:bidi="en-US"/>
    </w:rPr>
  </w:style>
  <w:style w:type="character" w:styleId="904" w:customStyle="1">
    <w:name w:val="Без интервала Знак"/>
    <w:link w:val="737"/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7896285B32E53E358893D05FCC41BD6941E02930E2A2B0B0609C123CE76062CF51252070F6939561E5BF053D2C05CCD8D95DF0F069F0AFEi4g9H" TargetMode="External"/><Relationship Id="rId12" Type="http://schemas.openxmlformats.org/officeDocument/2006/relationships/hyperlink" Target="consultantplus://offline/ref=A7896285B32E53E358892308EAA845DC911659990A2C255B5D5BC77491260079B55254524C2D34561E50A403979E059EC1DED20E10830AFF540FAD7Ci0gFH" TargetMode="External"/><Relationship Id="rId13" Type="http://schemas.openxmlformats.org/officeDocument/2006/relationships/hyperlink" Target="consultantplus://offline/ref=92006FFAEE161C5640293E4722EDB37ECEEF505CEF7551BBBC6E8E41329ADE479B60D10EF6DD62B7C208B6C4CF143375A8AF482ADAFF889Bh6MF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3B3B-3F6A-4E50-98E0-F8811E32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revision>5</cp:revision>
  <dcterms:created xsi:type="dcterms:W3CDTF">2024-06-04T09:14:00Z</dcterms:created>
  <dcterms:modified xsi:type="dcterms:W3CDTF">2025-06-17T07:47:12Z</dcterms:modified>
</cp:coreProperties>
</file>