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Сводный отчет</w:t>
      </w:r>
      <w:r>
        <w:rPr>
          <w:rFonts w:ascii="Times New Roman" w:hAnsi="Times New Roman" w:eastAsia="Times New Roman" w:cs="Times New Roman"/>
        </w:rPr>
      </w:r>
      <w:r/>
    </w:p>
    <w:p>
      <w:pPr>
        <w:pStyle w:val="865"/>
        <w:jc w:val="center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о результатах проведения оценки регулирующего воздействия</w:t>
      </w:r>
      <w:r>
        <w:rPr>
          <w:rFonts w:ascii="Times New Roman" w:hAnsi="Times New Roman" w:eastAsia="Times New Roman" w:cs="Times New Roman"/>
        </w:rPr>
      </w:r>
      <w:r/>
    </w:p>
    <w:p>
      <w:pPr>
        <w:pStyle w:val="865"/>
        <w:jc w:val="center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проекта нормативного правового акта</w:t>
      </w:r>
      <w:r>
        <w:rPr>
          <w:rFonts w:ascii="Times New Roman" w:hAnsi="Times New Roman" w:eastAsia="Times New Roman" w:cs="Times New Roman"/>
        </w:rPr>
      </w:r>
      <w:r/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contextualSpacing/>
        <w:ind w:firstLine="709"/>
        <w:jc w:val="lef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1. Общая информация:</w:t>
      </w:r>
      <w:r>
        <w:rPr>
          <w:rFonts w:ascii="Times New Roman" w:hAnsi="Times New Roman" w:eastAsia="Times New Roman" w:cs="Times New Roman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Мин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истерство экономического развития и промышленности Белгородской области.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Об утверждении Порядка предоставления субсидий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процентов по кредитам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и (или) фармацевтики,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и (или) селекции, и (или) генетики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нор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lang w:eastAsia="ru-RU"/>
        </w:rPr>
        <w:t xml:space="preserve">мативного правового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акта: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начало: «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03» сентября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г.;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окончание «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30» сентября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25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highlight w:val="none"/>
          <w:lang w:eastAsia="ru-RU"/>
        </w:rPr>
        <w:t xml:space="preserve">Высокая.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z w:val="24"/>
          <w:highlight w:val="yellow"/>
          <w:lang w:eastAsia="ru-RU"/>
        </w:rPr>
      </w:r>
      <w:r>
        <w:rPr>
          <w:highlight w:val="yellow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Проект постановления Правительства Белгородской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обла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утверждает Порядок предоставления субсидий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процентов по кредитам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и (или) фармацевтики,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и (или) селекции, и (или) генетики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 (далее - проект постановления)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одготовлен в 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целях проведения отбора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4"/>
          <w:lang w:eastAsia="ru-RU"/>
        </w:rPr>
        <w:t xml:space="preserve">предоставление из бюджета Белгородской области субсидий юридическим лицам</w:t>
        <w:br/>
        <w:t xml:space="preserve">на возмещение затрат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на уплату процентов по кредитам, связанным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с реализацией инвестиционных проектов по созданию имущественных комплексов в сфере биотехнологий,</w:t>
        <w:br/>
        <w:t xml:space="preserve">и (или) фармацевтики, и (или)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и (или) генетики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Ранее данная мера поддержи на территории Белгородской области не предоставлялась.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1.5. Контактная информация об исполнителе в органе-разработчике: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Ф.И.О.: Адонин Евгений Анатольевич.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Должность: консультант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отдела проектной деятельности и инвестиций департамента инвестиций и инноваций министерства экономического развития и промышленности Белгородской области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Тел.: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(4722) 73-28-41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adonin_ea@belregion.ru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2.1. Проблема, на решение которой направлен предлагаемый способ пр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авового регулирования: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- недостаток средств юридических лиц на реализацию крупных инвестиционных проектов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по созданию имущественных комплексов в сфере биотехнологий, фармацевтики,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генетики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- длительные сроки окупаемости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инвестиционных проектов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по созданию имущественных комплексов в сфере биотехнологий, фармацевтики,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генетики.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- н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изкая инвестиционная активность 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сфере биотехнологий, фармацевтики,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генетики в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регионе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2.2. Информация о возникновении и выявлении проблемы: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бращения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lang w:eastAsia="ru-RU"/>
        </w:rPr>
        <w:t xml:space="preserve">потенциальных инвесторов, осуществляющих деятельность 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сфере биотехнологий, фармацевтики,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генетики об оказании поддержки для реализации инвестиционных проектов в сферах их деятельности.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Сдерживание темпов инвестиционной деятельности в регионе, сложности запуска новых инвестиционных проектов, обусловленные значительными финансовыми затратами</w:t>
        <w:br/>
        <w:t xml:space="preserve">и длительными сроками окупаемости.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в соответствующих сферах деятельности:*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Меры поддержки, предусматривающие возмещение части  затрат на уплату процентов по кредитам, взятым бизнесом для реализации инвестиционных проектов, имеются</w:t>
        <w:br/>
        <w:t xml:space="preserve">в различных регионах. В частности, в Воронежской области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(постановление Правительства Воронежской области от 23 марта 2023 года № 176 «Об утверждении порядка предоставления су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бсидии из средств областного бюджета российским организациям на возмещение части процентной ставки по инвестиционным кредитам, полученным на модернизацию, реконструкцию действующих предприятий по переработке продукции растениеводства</w:t>
        <w:br/>
        <w:t xml:space="preserve">и животноводства») и в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Краснодарском крае (приказ департамен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та развития бизнеса</w:t>
        <w:br/>
        <w:t xml:space="preserve">и внешнеэкономической деятельности Краснодарского края от 12 июля 2024 года</w:t>
        <w:br/>
        <w:t xml:space="preserve">№ 268 «Об утверждении порядка предоставления субсидий юридическим лицам, являющимся инвесторами на возмещение части затрат на оплату процентов по принятым креди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тным обязательствам на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реализацию инвестиционных проектов, реализуемых на территории Краснодарского края»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). Однако указанный механизм государственной поддержки</w:t>
        <w:br/>
        <w:t xml:space="preserve">не распространяется на инвестиционные проекты в сфере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биотехнологий, фармацевтики,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генетики.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их достижения: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3.1. Описание целей предлагаемого правового регулирования: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Предоставление государственной поддержки инвесторам, реализующим новые инвестиционные проекты 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сфере биотехнологий, фармацевтики, селекции,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генетики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роект постановления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подготовлен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в соответствии со статьей 78 Бюджетного </w:t>
      </w:r>
      <w:hyperlink r:id="rId10" w:tooltip="https://login.consultant.ru/link/?req=doc&amp;base=LAW&amp;n=503620&amp;dst=103399" w:history="1">
        <w:r>
          <w:rPr>
            <w:rFonts w:ascii="Times New Roman" w:hAnsi="Times New Roman" w:eastAsia="Times New Roman" w:cs="Times New Roman"/>
            <w:b w:val="0"/>
            <w:i w:val="0"/>
            <w:sz w:val="24"/>
            <w:szCs w:val="28"/>
            <w:lang w:eastAsia="ru-RU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Российской Федерации, </w:t>
      </w:r>
      <w:hyperlink r:id="rId11" w:tooltip="https://login.consultant.ru/link/?req=doc&amp;base=LAW&amp;n=490805&amp;dst=100021" w:history="1">
        <w:r>
          <w:rPr>
            <w:rFonts w:ascii="Times New Roman" w:hAnsi="Times New Roman" w:eastAsia="Times New Roman" w:cs="Times New Roman"/>
            <w:b w:val="0"/>
            <w:i w:val="0"/>
            <w:sz w:val="24"/>
            <w:szCs w:val="28"/>
            <w:lang w:eastAsia="ru-RU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Правительства Российс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кой Федерации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от 25 октября 2023 года № 1782 «Об утверждении общих требований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к нормативным правовым актам, муниципальным правовым актам,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регулирующим предоставление из бюджетов субъектов Российской Федерации, местных бюджетов субсидий, в том числе грантов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Белгородской области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от 1 июля 2014 года № 284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«Об инвестиционной деятельности в Белгородской области», от 30 июня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br/>
        <w:t xml:space="preserve">2016 года № 87 «О промышленной политике в Белгородской области», постановлением Правительства Белгородской области от 18 декабря 2023 года № 723-пп «Об утвержден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ии государственной программы Белгородской области «Развитие научной, научно-технологической и инновационной деятельности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Белгородской области»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6-2030 год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ы.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3.4.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Отсутствует.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4. Описание предлагаемого правового регулирования: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4.1. Описание предлагаемого способа решения проблемы и преодоления связанных</w:t>
        <w:br/>
        <w:t xml:space="preserve">с ней негативных эффектов: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Проектом постановления утверждается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Порядок предоставления субсидий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br/>
        <w:t xml:space="preserve">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процентов по кредитам, связанным</w:t>
        <w:br/>
        <w:t xml:space="preserve">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и (или) фармацевтики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и (или) селекции, и (или) генетики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предусматривающий: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условия и порядок предоставления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субсидий;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порядок проведения отбора получателей субсидий;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требования к отчетности о достижении значения результата предоставления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субсидии.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Реализация крупных инвестиционных проектов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и (или) фармацевтики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и (или) селекции, и (или) генетик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только за счет кредитных или собственных средств инвестора.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При этом кредитование подразумевает, что средства банка берутся юридическим лицом (инвестором) под определённый процент на опр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еделённый срок. На сегодняшний день процентная ставка для бизнеса может составлять 25 % годовых и более, что создает дополнительную нагрузку на бизнес и снижает заинтересованность бизнеса в реализации новых проектов на территории региона.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В отличие от кредита, субсидирование является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разновидностью материальной помощи юридическим лицам (бизнесу) в строго определённых целях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которая предоставляется на безвозмездной основе, в том числе компенсирую тем самым дополнительные расходы собственных средств.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Тем самым субсидии со стороны государства являются искусственным механизмом по повышению спроса бизнеса на участие в реализации новых проектов</w:t>
        <w:br/>
        <w:t xml:space="preserve">в регионе.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озмещение затрат на уплату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процентов по кредитам,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 фармацевтики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селекции, генетики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позволит снизить финансовую нагрузку на бизнес</w:t>
        <w:br/>
        <w:t xml:space="preserve">и повысить инвестиционную привлекательность региона в указанных сферах деятельности.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В 2026 году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предполагается 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предоставить данный вид государственной поддержки</w:t>
        <w:br/>
        <w:t xml:space="preserve">в размере до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4"/>
          <w:lang w:eastAsia="ru-RU"/>
        </w:rPr>
        <w:t xml:space="preserve">820,3 млн рублей.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4.3. Обоснование выбора предлагаемого способа решения проблемы: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В связи с отсутствием на региональном уровне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мер государственной поддержки инвестиционных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проектов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фармацевтики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селекции, генетики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принятие проекта постановления, регламентирующего 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порядок предоставления субсидий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процентов по кредитам,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 в сфере биотехнологий, и (или) фармацевтики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8"/>
          <w:lang w:eastAsia="ru-RU"/>
        </w:rPr>
        <w:t xml:space="preserve">, и (или) селекции, и (или) генетики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 является объективно обоснованным способом поддержки проектов, реализуемых в указанных сферах.</w:t>
      </w:r>
      <w:r>
        <w:rPr>
          <w:rFonts w:ascii="Times New Roman" w:hAnsi="Times New Roman" w:eastAsia="Times New Roman" w:cs="Times New Roman"/>
          <w:b w:val="0"/>
          <w:i w:val="0"/>
          <w:sz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b w:val="0"/>
          <w:i w:val="0"/>
          <w:iCs w:val="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lang w:eastAsia="ru-RU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</w:t>
        <w:br/>
        <w:t xml:space="preserve">их количественного состава:</w:t>
      </w:r>
      <w:r>
        <w:rPr>
          <w:rFonts w:ascii="Times New Roman" w:hAnsi="Times New Roman" w:eastAsia="Times New Roman" w:cs="Times New Roman"/>
          <w:b w:val="0"/>
          <w:i w:val="0"/>
          <w:sz w:val="24"/>
          <w:szCs w:val="24"/>
          <w:lang w:eastAsia="ru-RU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keepLines/>
              <w:keepNext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Группа участников отношений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76"/>
              <w:jc w:val="center"/>
              <w:keepLines/>
              <w:keepNext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pStyle w:val="676"/>
              <w:ind w:left="57" w:right="57"/>
              <w:jc w:val="both"/>
              <w:keepLines/>
              <w:keepNext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Инвесторы, реализующие </w:t>
              <w:br/>
              <w:t xml:space="preserve">или планирующие к реализации новые инвестиционные проекты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о созданию имущественных комплексов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 в сфере биотехнологий, и (или) фармацевтики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,</w:t>
              <w:br/>
              <w:t xml:space="preserve">и (или) селекции, и (или) генетики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стоимостью не менее 3 млрд рублей</w:t>
            </w:r>
            <w:r>
              <w:rPr>
                <w:rFonts w:ascii="Times New Roman" w:hAnsi="Times New Roman" w:eastAsia="Times New Roman" w:cs="Times New Roman"/>
                <w:b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76"/>
              <w:ind w:left="57" w:right="57"/>
              <w:jc w:val="center"/>
              <w:keepLines/>
              <w:keepNext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не менее 3</w:t>
            </w:r>
            <w:r>
              <w:rPr>
                <w:rFonts w:ascii="Times New Roman" w:hAnsi="Times New Roman" w:eastAsia="Times New Roman" w:cs="Times New Roman"/>
                <w:b w:val="0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16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16"/>
          <w:szCs w:val="24"/>
        </w:rPr>
      </w:r>
      <w:r>
        <w:rPr>
          <w:sz w:val="16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4.5. Оценка изменений обязательных требований, обязанностей, ограничений</w:t>
        <w:br/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eastAsia="Times New Roman" w:cs="Times New Roman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4"/>
        <w:gridCol w:w="3827"/>
        <w:gridCol w:w="30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Группа участников отношений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новых преимуществ, обязанностей, ограничений </w:t>
              <w:br/>
              <w:t xml:space="preserve">или изменения содержания существующих обязанностей</w:t>
              <w:br/>
              <w:t xml:space="preserve">и ограничений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менения расходов / доходов,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издержек /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выгод,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>
          <w:cantSplit/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676"/>
              <w:ind w:righ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нвесторы, реализующие</w:t>
              <w:br/>
              <w:t xml:space="preserve">или планирующие</w:t>
              <w:br/>
              <w:t xml:space="preserve">к реализации новые инвестиционные проекты</w:t>
              <w:br/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о созданию имущественных комплексов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 в сфере биотехнологий,</w:t>
              <w:br/>
              <w:t xml:space="preserve">и (или) фармацевтики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,</w:t>
              <w:br/>
              <w:t xml:space="preserve">и (или) селекции,</w:t>
              <w:br/>
              <w:t xml:space="preserve">и (или) генетики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стоимостью не менее 3 млрд рублей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Преимущества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возмещение затрат на уплату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8"/>
              </w:rPr>
              <w:t xml:space="preserve"> процентов по кредитам, связанным с реализацией инвестиционных проектов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Обязанности: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- предоставление пакета документов, необходимого для получения субсидии;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- достижение результата предоставления субсидии;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- предоставление ежеквартальной</w:t>
              <w:br/>
              <w:t xml:space="preserve">и годовой отчетности о достижении результата субсидии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676"/>
              <w:ind w:righ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Запланированная сумма субсидии: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820,3 млн рублей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-</w:t>
              <w:br/>
              <w:t xml:space="preserve">на 2026 год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right="57"/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</w:r>
            <w:r/>
          </w:p>
          <w:p>
            <w:pPr>
              <w:pStyle w:val="676"/>
              <w:ind w:right="57"/>
              <w:jc w:val="left"/>
              <w:rPr>
                <w:rFonts w:ascii="Times New Roman" w:hAnsi="Times New Roman" w:eastAsia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Общая стоимость требования по представлению пакета документов 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6"/>
                <w:highlight w:val="white"/>
              </w:rPr>
              <w:t xml:space="preserve">89,06 тыс. руб.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right="57"/>
              <w:jc w:val="left"/>
              <w:rPr>
                <w:rFonts w:ascii="Times New Roman" w:hAnsi="Times New Roman" w:eastAsia="Times New Roman" w:cs="Times New Roman"/>
                <w:highlight w:val="white"/>
              </w:rPr>
              <w:framePr w:hSpace="180" w:wrap="around" w:vAnchor="text" w:hAnchor="margin" w:y="69"/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676"/>
              <w:ind w:right="57"/>
              <w:jc w:val="left"/>
              <w:rPr>
                <w:rFonts w:ascii="Times New Roman" w:hAnsi="Times New Roman" w:eastAsia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Общая стоимость требования</w:t>
              <w:br/>
              <w:t xml:space="preserve">по предоставлению отчетности 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6"/>
                <w:highlight w:val="white"/>
              </w:rPr>
              <w:t xml:space="preserve">65,19 тыс. руб.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16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16"/>
          <w:szCs w:val="24"/>
        </w:rPr>
      </w:r>
      <w:r>
        <w:rPr>
          <w:sz w:val="16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4.6. Новые функции, полномочия, обязанности и права, а также ожидаемые издержки</w:t>
        <w:br/>
        <w:t xml:space="preserve">и выгоды органов государственной власти и органов местного самоуправления области</w:t>
        <w:br/>
        <w:t xml:space="preserve">или сведения об их изменении:</w:t>
      </w:r>
      <w:r>
        <w:rPr>
          <w:rFonts w:ascii="Times New Roman" w:hAnsi="Times New Roman" w:eastAsia="Times New Roman" w:cs="Times New Roman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Наименование органа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новых или изменения существующих функций, полномочий, обязанностей </w:t>
              <w:br/>
              <w:t xml:space="preserve">или прав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экономического развития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и промышленности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Белгородской области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76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Новые обязанности: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676"/>
              <w:ind w:left="0" w:firstLine="0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t xml:space="preserve">- осуществление деятельности в рамках ранее установленных полномочий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76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В рамках текущей деятельности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16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16"/>
          <w:szCs w:val="24"/>
        </w:rPr>
      </w:r>
      <w:r>
        <w:rPr>
          <w:sz w:val="16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eastAsia="Times New Roman" w:cs="Times New Roman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089"/>
        <w:gridCol w:w="357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3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тыс.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Полномочия по выделению субсидии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9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Субсидия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73" w:type="dxa"/>
            <w:vAlign w:val="top"/>
            <w:textDirection w:val="lrTb"/>
            <w:noWrap w:val="false"/>
          </w:tcPr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Запланированная сумма субсидии: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676"/>
              <w:ind w:right="57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на 2026 год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820,3 млн рублей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</w:tbl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>
        <w:rPr>
          <w:rFonts w:ascii="Times New Roman" w:hAnsi="Times New Roman" w:eastAsia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5. Риски решения проблемы предложенным способом правового регулирования</w:t>
        <w:br/>
        <w:t xml:space="preserve">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eastAsia="Times New Roman" w:cs="Times New Roman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664"/>
        <w:gridCol w:w="38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6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76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Недостижение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юридическими лицами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результатов предоставления субсидий, указанных</w:t>
              <w:br/>
              <w:t xml:space="preserve">в соглашении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6" w:type="dxa"/>
            <w:textDirection w:val="lrTb"/>
            <w:noWrap w:val="false"/>
          </w:tcPr>
          <w:p>
            <w:pPr>
              <w:pStyle w:val="676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Мониторинг реализации проекта.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Мониторинг достижения результатов субсидии посредством анализа предоставленных ежеквартальных и годового отчетов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pStyle w:val="676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Нецелевой использование субсидии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Merge w:val="restart"/>
            <w:textDirection w:val="lrTb"/>
            <w:noWrap w:val="false"/>
          </w:tcPr>
          <w:p>
            <w:pPr>
              <w:pStyle w:val="676"/>
              <w:ind w:right="57"/>
              <w:jc w:val="center"/>
              <w:rPr>
                <w:rFonts w:ascii="Times New Roman" w:hAnsi="Times New Roman" w:eastAsia="Times New Roman" w:cs="Times New Roman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  <w:framePr w:hSpace="180" w:wrap="around" w:vAnchor="text" w:hAnchor="margin" w:y="189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Мониторинг достижения результатов субсидии посредством анализа предоставленных ежеквартальных и годового отчетов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16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16"/>
          <w:szCs w:val="24"/>
        </w:rPr>
      </w:r>
      <w:r>
        <w:rPr>
          <w:sz w:val="1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16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16"/>
          <w:szCs w:val="24"/>
        </w:rPr>
      </w:r>
      <w:r>
        <w:rPr>
          <w:sz w:val="16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Times New Roman" w:hAnsi="Times New Roman" w:eastAsia="Times New Roman" w:cs="Times New Roman"/>
        </w:rPr>
      </w:r>
      <w:r/>
    </w:p>
    <w:tbl>
      <w:tblPr>
        <w:tblW w:w="9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1447"/>
        <w:gridCol w:w="1842"/>
        <w:gridCol w:w="1418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Сроки реализации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ожидаемого результата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Объем финансиро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вания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Источники финансиро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вания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Контроль за достижением результата предоставления субсидии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widowControl w:val="off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2026-2030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widowControl w:val="off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Достижение результатов предоставления субсидии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widowControl w:val="off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820,3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млн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 рублей</w:t>
              <w:br/>
              <w:t xml:space="preserve">(2026 год)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widowControl w:val="off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</w:tbl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16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16"/>
          <w:szCs w:val="24"/>
        </w:rPr>
      </w:r>
      <w:r>
        <w:rPr>
          <w:sz w:val="16"/>
        </w:rPr>
      </w:r>
      <w:r/>
    </w:p>
    <w:p>
      <w:pPr>
        <w:ind w:left="0" w:right="0" w:firstLine="709"/>
        <w:spacing w:after="0" w:line="240" w:lineRule="auto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7. Ожидаемые измеримые результаты правового регулирования:*</w:t>
      </w:r>
      <w:r>
        <w:rPr>
          <w:rFonts w:ascii="Times New Roman" w:hAnsi="Times New Roman" w:eastAsia="Times New Roman" w:cs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847"/>
        <w:gridCol w:w="1843"/>
        <w:gridCol w:w="2268"/>
      </w:tblGrid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1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lang w:eastAsia="en-US"/>
              </w:rPr>
              <w:t xml:space="preserve">Срок оценки достижения ключевых показателей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1" w:type="dxa"/>
            <w:textDirection w:val="lrTb"/>
            <w:noWrap w:val="false"/>
          </w:tcPr>
          <w:p>
            <w:pPr>
              <w:pStyle w:val="676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Достижение результатов предоставления субсидии: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676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предоставление субсидии не менее 3-м юридическим лицам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textDirection w:val="lrTb"/>
            <w:noWrap w:val="false"/>
          </w:tcPr>
          <w:p>
            <w:pPr>
              <w:pStyle w:val="676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en-US"/>
              </w:rPr>
              <w:t xml:space="preserve">Мониторинг достижения результатов субсидии посредством анализа предоставленных ежеквартальных</w:t>
              <w:br/>
              <w:t xml:space="preserve">и годового отчетов 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76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 марта</w:t>
              <w:br/>
              <w:t xml:space="preserve">2031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ноябрь 2025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Руководитель органа-разработчика</w:t>
      </w:r>
      <w:r>
        <w:rPr>
          <w:rFonts w:ascii="Times New Roman" w:hAnsi="Times New Roman" w:eastAsia="Times New Roman" w:cs="Times New Roman"/>
        </w:rPr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Гусев М.С.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(инициалы, фамилия)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</w:tbl>
    <w:p>
      <w:pPr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95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Arial" w:eastAsia="Arial" w:cs="Arial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43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44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45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46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47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50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51">
    <w:name w:val="Title Char"/>
    <w:basedOn w:val="686"/>
    <w:link w:val="700"/>
    <w:uiPriority w:val="10"/>
    <w:rPr>
      <w:sz w:val="48"/>
      <w:szCs w:val="48"/>
    </w:rPr>
  </w:style>
  <w:style w:type="character" w:styleId="652">
    <w:name w:val="Subtitle Char"/>
    <w:basedOn w:val="686"/>
    <w:link w:val="702"/>
    <w:uiPriority w:val="11"/>
    <w:rPr>
      <w:sz w:val="24"/>
      <w:szCs w:val="24"/>
    </w:rPr>
  </w:style>
  <w:style w:type="character" w:styleId="653">
    <w:name w:val="Quote Char"/>
    <w:link w:val="704"/>
    <w:uiPriority w:val="29"/>
    <w:rPr>
      <w:i/>
    </w:rPr>
  </w:style>
  <w:style w:type="character" w:styleId="654">
    <w:name w:val="Intense Quote Char"/>
    <w:link w:val="706"/>
    <w:uiPriority w:val="30"/>
    <w:rPr>
      <w:i/>
    </w:rPr>
  </w:style>
  <w:style w:type="table" w:styleId="655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8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0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4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light1" w:sz="4" w:space="0"/>
        </w:tcBorders>
      </w:tcPr>
    </w:tblStylePr>
  </w:style>
  <w:style w:type="table" w:styleId="665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6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9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2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3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74">
    <w:name w:val="Footnote Text Char"/>
    <w:link w:val="838"/>
    <w:uiPriority w:val="99"/>
    <w:rPr>
      <w:sz w:val="18"/>
    </w:rPr>
  </w:style>
  <w:style w:type="character" w:styleId="675">
    <w:name w:val="Endnote Text Char"/>
    <w:link w:val="841"/>
    <w:uiPriority w:val="99"/>
    <w:rPr>
      <w:sz w:val="20"/>
    </w:rPr>
  </w:style>
  <w:style w:type="paragraph" w:styleId="676" w:default="1">
    <w:name w:val="Normal"/>
    <w:qFormat/>
    <w:rPr>
      <w:sz w:val="24"/>
      <w:szCs w:val="24"/>
    </w:rPr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6"/>
    <w:uiPriority w:val="34"/>
    <w:qFormat/>
    <w:pPr>
      <w:contextualSpacing/>
      <w:ind w:left="720"/>
    </w:pPr>
  </w:style>
  <w:style w:type="paragraph" w:styleId="699">
    <w:name w:val="No Spacing"/>
    <w:uiPriority w:val="1"/>
    <w:qFormat/>
  </w:style>
  <w:style w:type="paragraph" w:styleId="700">
    <w:name w:val="Title"/>
    <w:basedOn w:val="676"/>
    <w:next w:val="67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 w:customStyle="1">
    <w:name w:val="Название Знак"/>
    <w:basedOn w:val="686"/>
    <w:link w:val="700"/>
    <w:uiPriority w:val="10"/>
    <w:rPr>
      <w:sz w:val="48"/>
      <w:szCs w:val="48"/>
    </w:rPr>
  </w:style>
  <w:style w:type="paragraph" w:styleId="702">
    <w:name w:val="Subtitle"/>
    <w:basedOn w:val="676"/>
    <w:next w:val="676"/>
    <w:link w:val="703"/>
    <w:uiPriority w:val="11"/>
    <w:qFormat/>
    <w:pPr>
      <w:spacing w:before="200" w:after="200"/>
    </w:pPr>
  </w:style>
  <w:style w:type="character" w:styleId="703" w:customStyle="1">
    <w:name w:val="Подзаголовок Знак"/>
    <w:basedOn w:val="686"/>
    <w:link w:val="702"/>
    <w:uiPriority w:val="11"/>
    <w:rPr>
      <w:sz w:val="24"/>
      <w:szCs w:val="24"/>
    </w:rPr>
  </w:style>
  <w:style w:type="paragraph" w:styleId="704">
    <w:name w:val="Quote"/>
    <w:basedOn w:val="676"/>
    <w:next w:val="676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6"/>
    <w:next w:val="676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character" w:styleId="708" w:customStyle="1">
    <w:name w:val="Header Char"/>
    <w:basedOn w:val="686"/>
    <w:uiPriority w:val="99"/>
  </w:style>
  <w:style w:type="character" w:styleId="709" w:customStyle="1">
    <w:name w:val="Footer Char"/>
    <w:basedOn w:val="686"/>
    <w:uiPriority w:val="99"/>
  </w:style>
  <w:style w:type="paragraph" w:styleId="710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1" w:customStyle="1">
    <w:name w:val="Caption Char"/>
    <w:uiPriority w:val="99"/>
  </w:style>
  <w:style w:type="table" w:styleId="712" w:customStyle="1">
    <w:name w:val="Table Grid Light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 w:customStyle="1">
    <w:name w:val="Таблица простая 11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Таблица простая 21"/>
    <w:basedOn w:val="6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Таблица простая 31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Таблица простая 41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Таблица простая 51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Таблица-сетка 1 светлая1"/>
    <w:basedOn w:val="6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Таблица-сетка 21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31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Таблица-сетка 41"/>
    <w:basedOn w:val="6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 w:customStyle="1">
    <w:name w:val="Таблица-сетка 5 темная1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Таблица-сетка 6 цветная1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Таблица-сетка 7 цветная1"/>
    <w:basedOn w:val="6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 w:customStyle="1">
    <w:name w:val="Grid Table 7 Colorful - Accent 1"/>
    <w:basedOn w:val="68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2"/>
    <w:basedOn w:val="68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3"/>
    <w:basedOn w:val="68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4"/>
    <w:basedOn w:val="68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5"/>
    <w:basedOn w:val="68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6"/>
    <w:basedOn w:val="68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Список-таблица 1 светлая1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7"/>
    <w:uiPriority w:val="99"/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Список-таблица 21"/>
    <w:basedOn w:val="6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Список-таблица 31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Список-таблица 41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5 темная1"/>
    <w:basedOn w:val="6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Список-таблица 6 цветная1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 w:customStyle="1">
    <w:name w:val="Список-таблица 7 цветная1"/>
    <w:basedOn w:val="6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List Table 7 Colorful - Accent 1"/>
    <w:basedOn w:val="68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2"/>
    <w:basedOn w:val="68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3"/>
    <w:basedOn w:val="68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4"/>
    <w:basedOn w:val="68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5"/>
    <w:basedOn w:val="68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6"/>
    <w:basedOn w:val="68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ned - Accent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17" w:customStyle="1">
    <w:name w:val="Lined - Accent 1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18" w:customStyle="1">
    <w:name w:val="Lined - Accent 2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19" w:customStyle="1">
    <w:name w:val="Lined - Accent 3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20" w:customStyle="1">
    <w:name w:val="Lined - Accent 4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21" w:customStyle="1">
    <w:name w:val="Lined - Accent 5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22" w:customStyle="1">
    <w:name w:val="Lined - Accent 6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23" w:customStyle="1">
    <w:name w:val="Bordered &amp; Lined - Accent"/>
    <w:basedOn w:val="68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24" w:customStyle="1">
    <w:name w:val="Bordered &amp; Lined - Accent 1"/>
    <w:basedOn w:val="68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25" w:customStyle="1">
    <w:name w:val="Bordered &amp; Lined - Accent 2"/>
    <w:basedOn w:val="68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26" w:customStyle="1">
    <w:name w:val="Bordered &amp; Lined - Accent 3"/>
    <w:basedOn w:val="68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27" w:customStyle="1">
    <w:name w:val="Bordered &amp; Lined - Accent 4"/>
    <w:basedOn w:val="68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28" w:customStyle="1">
    <w:name w:val="Bordered &amp; Lined - Accent 5"/>
    <w:basedOn w:val="68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29" w:customStyle="1">
    <w:name w:val="Bordered &amp; Lined - Accent 6"/>
    <w:basedOn w:val="68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30" w:customStyle="1">
    <w:name w:val="Bordered"/>
    <w:basedOn w:val="68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6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6"/>
    <w:uiPriority w:val="99"/>
    <w:unhideWhenUsed/>
    <w:rPr>
      <w:vertAlign w:val="superscript"/>
    </w:rPr>
  </w:style>
  <w:style w:type="paragraph" w:styleId="841">
    <w:name w:val="endnote text"/>
    <w:basedOn w:val="676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6"/>
    <w:uiPriority w:val="99"/>
    <w:semiHidden/>
    <w:unhideWhenUsed/>
    <w:rPr>
      <w:vertAlign w:val="superscript"/>
    </w:rPr>
  </w:style>
  <w:style w:type="paragraph" w:styleId="844">
    <w:name w:val="toc 1"/>
    <w:basedOn w:val="676"/>
    <w:next w:val="676"/>
    <w:uiPriority w:val="39"/>
    <w:unhideWhenUsed/>
    <w:pPr>
      <w:spacing w:after="57"/>
    </w:pPr>
  </w:style>
  <w:style w:type="paragraph" w:styleId="845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6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7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8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9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0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1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2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6"/>
    <w:next w:val="676"/>
    <w:uiPriority w:val="99"/>
    <w:unhideWhenUsed/>
  </w:style>
  <w:style w:type="table" w:styleId="855">
    <w:name w:val="Table Grid"/>
    <w:basedOn w:val="68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57">
    <w:name w:val="Balloon Text"/>
    <w:basedOn w:val="676"/>
    <w:semiHidden/>
    <w:rPr>
      <w:rFonts w:ascii="Tahoma" w:hAnsi="Tahoma" w:cs="Tahoma"/>
      <w:sz w:val="16"/>
      <w:szCs w:val="16"/>
    </w:rPr>
  </w:style>
  <w:style w:type="paragraph" w:styleId="858" w:customStyle="1">
    <w:name w:val="Знак"/>
    <w:basedOn w:val="6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9">
    <w:name w:val="Header"/>
    <w:basedOn w:val="676"/>
    <w:link w:val="860"/>
    <w:uiPriority w:val="99"/>
    <w:pPr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link w:val="859"/>
    <w:uiPriority w:val="99"/>
    <w:rPr>
      <w:sz w:val="24"/>
      <w:szCs w:val="24"/>
    </w:rPr>
  </w:style>
  <w:style w:type="paragraph" w:styleId="861">
    <w:name w:val="Footer"/>
    <w:basedOn w:val="676"/>
    <w:link w:val="862"/>
    <w:pPr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link w:val="861"/>
    <w:rPr>
      <w:sz w:val="24"/>
      <w:szCs w:val="24"/>
    </w:rPr>
  </w:style>
  <w:style w:type="paragraph" w:styleId="863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64" w:customStyle="1">
    <w:name w:val="Сетка таблицы1"/>
    <w:basedOn w:val="687"/>
    <w:next w:val="855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5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66" w:customStyle="1">
    <w:name w:val="Знак"/>
    <w:basedOn w:val="6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67" w:customStyle="1">
    <w:name w:val="Сетка таблицы2"/>
    <w:basedOn w:val="687"/>
    <w:next w:val="8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Знак"/>
    <w:basedOn w:val="6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69" w:customStyle="1">
    <w:name w:val="Сетка таблицы11"/>
    <w:basedOn w:val="687"/>
    <w:next w:val="855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503620&amp;dst=103399" TargetMode="External"/><Relationship Id="rId11" Type="http://schemas.openxmlformats.org/officeDocument/2006/relationships/hyperlink" Target="https://login.consultant.ru/link/?req=doc&amp;base=LAW&amp;n=490805&amp;dst=100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14</cp:revision>
  <dcterms:created xsi:type="dcterms:W3CDTF">2023-03-09T13:36:00Z</dcterms:created>
  <dcterms:modified xsi:type="dcterms:W3CDTF">2025-09-03T07:05:19Z</dcterms:modified>
</cp:coreProperties>
</file>