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bookmarkStart w:id="0" w:name="P439"/>
      <w:r>
        <w:rPr>
          <w:rFonts w:ascii="Liberation Serif" w:hAnsi="Liberation Serif" w:eastAsia="Liberation Serif" w:cs="Liberation Serif"/>
          <w:sz w:val="26"/>
          <w:szCs w:val="26"/>
        </w:rPr>
      </w:r>
      <w:bookmarkEnd w:id="0"/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Сводный отчет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highlight w:val="none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о результатах проведения оценки регулирующего воздействия</w:t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проекта нормативного правового акта</w:t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83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  <w:lang w:eastAsia="ru-RU"/>
        </w:rPr>
        <w:t xml:space="preserve">1. Общая информация: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1.1. Орган-разработчик: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управление государственного жилищного надзора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2. Вид и наименование проекта нормативного правового акта: </w:t>
      </w:r>
      <w:r>
        <w:rPr>
          <w:rFonts w:ascii="Liberation Serif" w:hAnsi="Liberation Serif" w:cs="Liberation Serif"/>
          <w:sz w:val="26"/>
          <w:szCs w:val="26"/>
        </w:rPr>
      </w:r>
      <w:r/>
      <w:r>
        <w:rPr>
          <w:rFonts w:ascii="Liberation Serif" w:hAnsi="Liberation Serif" w:eastAsia="Liberation Serif" w:cs="Liberation Serif"/>
          <w:sz w:val="26"/>
          <w:szCs w:val="26"/>
        </w:rPr>
        <w:t xml:space="preserve">проект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постановления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Правительства Белгородской области «О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429-пп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b w:val="0"/>
          <w:bCs w:val="0"/>
          <w:sz w:val="26"/>
          <w:szCs w:val="26"/>
        </w:rPr>
      </w:r>
      <w:r/>
      <w:r>
        <w:rPr>
          <w:rFonts w:ascii="Liberation Serif" w:hAnsi="Liberation Serif" w:cs="Liberation Serif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нормативного правового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акта: начало: «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21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 июля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2025 г.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окончание «1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 августа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2025 г.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1.4.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Степень регулирующего воздействия проекта нормативного правового акта: 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средняя.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Проект нормативного правового акта содержит положения по изменению ор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  <w:lang w:eastAsia="en-US"/>
        </w:rPr>
        <w:t xml:space="preserve">ганизации проведения профилактических и контрольных (надзорных) мероприятий при осуществлении государственного жилищного надзора.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1.5. Контактная инф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ормация об исполнителе в органе-разработчике: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Ф.И.О.: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Бочарникова Екатерина Николаевна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Должность: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начальник отдела правового обеспечения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 и административного производства управления государственного жилищного надзора Белгородской области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Тел.: 8 (4722) 34-69-37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Адрес электронной почты: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ru-RU"/>
        </w:rPr>
        <w:t xml:space="preserve">ugjn31@belregion.ru</w:t>
      </w:r>
      <w:r/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2.1. Проблема, на решение которой направлен предлагаемый спосо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б правового регулирования: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Проект нормативного акта направлен на улучшение качества 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системы специальных полномочий по осуществлению государственного жилищного надзора Белгородской области, которое приведено в соответствие с действующими нормативными правовыми актами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2.2. Информация о возникновении и выявлении проблемы: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В ходе проведенного анализа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Федерального закона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от 31 июля 2020 года</w:t>
        <w:br/>
        <w:t xml:space="preserve">№ 248-ФЗ 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«О государственном контроле (надзоре) и муниципальном контроле</w:t>
        <w:br/>
        <w:t xml:space="preserve">в Российской Федерации»</w:t>
      </w:r>
      <w:r>
        <w:rPr>
          <w:rFonts w:ascii="Liberation Serif" w:hAnsi="Liberation Serif" w:eastAsia="Liberation Serif" w:cs="Liberation Serif"/>
          <w:color w:val="000000"/>
          <w:sz w:val="26"/>
          <w:szCs w:val="26"/>
        </w:rPr>
        <w:t xml:space="preserve"> было установлено о</w:t>
      </w: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тсутствие на региональном уровне эффективной системы специальных полномочий по осуществлению государственного жилищного надзора Белгородской области, которое будет приведено в соответствие</w:t>
        <w:br/>
        <w:t xml:space="preserve">с действующими федеральными нормативными правовыми актами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</w:t>
        <w:br/>
        <w:t xml:space="preserve">и осуществления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2.3. Негативные эффекты, возникающие в связи с наличием рассматриваемой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проблемы: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Отсутствие актуальной системы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Liberation Serif" w:hAnsi="Liberation Serif" w:eastAsia="Liberation Serif" w:cs="Liberation Serif"/>
          <w:sz w:val="26"/>
          <w:szCs w:val="26"/>
        </w:rPr>
        <w:br/>
        <w:t xml:space="preserve">в соответствующих сферах деятельности:*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В настоящее время в Санкт-Петербурге, Республики Алтай, Татарстан, Волгоградской, Калининградской, Омской области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утверждены положения</w:t>
        <w:br/>
        <w:t xml:space="preserve">о государственном жилищном надзоре.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3.Цели вводимого правового регулирования и измеримые показатели</w:t>
        <w:br/>
        <w:t xml:space="preserve">их достижения: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3.1. Описа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ние целей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Создание результативной и эффективной системы по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</w:t>
        <w:br/>
        <w:t xml:space="preserve">и осуществлению регионального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3.2. Обоснование соответствия целей предлагаемого правового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регулирования принципам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- </w:t>
      </w:r>
      <w:bookmarkStart w:id="0" w:name="undefined"/>
      <w:r>
        <w:rPr>
          <w:rFonts w:ascii="Liberation Serif" w:hAnsi="Liberation Serif" w:eastAsia="Liberation Serif" w:cs="Liberation Serif"/>
          <w:sz w:val="26"/>
          <w:szCs w:val="26"/>
        </w:rPr>
        <w:t xml:space="preserve">Федеральный закон от 31 июля 2020 года № 248-ФЗ «О государственном контроле (надзоре) и муниципальном контроле в Российской Федерации»;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- постановление Правительства РФ от 28 октября 2014 года № </w:t>
      </w:r>
      <w:bookmarkEnd w:id="0"/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1670 «Об утверждении общих требований к организации и осуществлению регионального государственного жилищного контроля (надзора)»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октябрь 2025 год.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3.4.</w:t>
      </w:r>
      <w:r>
        <w:rPr>
          <w:rFonts w:ascii="Liberation Serif" w:hAnsi="Liberation Serif" w:eastAsia="Liberation Serif" w:cs="Liberation Serif"/>
          <w:sz w:val="26"/>
          <w:szCs w:val="26"/>
          <w:lang w:val="en-US"/>
        </w:rPr>
        <w:t xml:space="preserve">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Отсутствует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  <w:lang w:eastAsia="ru-RU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contextualSpacing/>
        <w:ind w:left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color w:val="000000"/>
          <w:sz w:val="26"/>
          <w:szCs w:val="26"/>
          <w:shd w:val="clear" w:color="auto" w:fill="ffffff"/>
        </w:rPr>
        <w:t xml:space="preserve">Проектом постановления вносятся изменения в Положение о региональном государственном жилищном надзоре на территории Белгородской области: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ю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ч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ж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с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в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плановых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к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ь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-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з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н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ы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х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м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о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п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р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т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и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й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д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л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  <w:lang w:eastAsia="zh-CN"/>
        </w:rPr>
        <w:t xml:space="preserve">я объектов контроля среднего и умеренного риска;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  <w:lang w:eastAsia="zh-CN"/>
        </w:rPr>
        <w:t xml:space="preserve">- для объектов, отнесенных к высокой категории риска, установлена периодичность плановых контрольно-надзорных мероприятий и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для объектов контроля, отнесенных к категории среднего и умеренного риска, предусмотрено проведение обязательных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положения, регламентирующие проведение профилактических визитов;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основания для проведения контрольно-надзорных мероприятий;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contextualSpacing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контрольно-надзорные мероприятия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 проводятся только после согласования с органами прокуратуры;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контрольные (надзорные) действия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могут осуществляться 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831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актуализированы сроки рассмотрения жалоб: на действия (бездействия) - 15 рабочих дней, об отнесении объекта к категории риска - 5 рабочих дней.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31"/>
        <w:ind w:firstLine="709"/>
        <w:jc w:val="both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5"/>
        <w:gridCol w:w="4782"/>
      </w:tblGrid>
      <w:tr>
        <w:trPr>
          <w:cantSplit w:val="false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Предлагаемое регулирование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Альтернативный вариант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решения проблемы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ю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ж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среднего и умеренного риска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6"/>
                <w:szCs w:val="26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высокого среднего</w:t>
              <w:br/>
              <w:t xml:space="preserve">и умеренного риска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Форма проведения контрольно-надзорных мероприятий: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контрольные (надзорные) действия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могут осуществляться с применением средств дистанционного взаимодействия, в том числе посредством фотосъемки, видео-конференц-связи, а также, при наличии технической возможности, с использованием мобильного приложения «Инспектор»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с согласованием органами прокуратуры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Ф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орма проведения контрольно-надзорных мероприятий: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  <w:lang w:eastAsia="zh-CN"/>
              </w:rPr>
              <w:t xml:space="preserve">проводится по местонахождению (месту осуществления деятельности) контролируемого лица (его филиалов, представительств, обособленных структурных подразделений) без согласования с органами прокуратуры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рассмотрения жалобы на действия (бездействия) должностных лиц: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срок рассмотрения жалоб на действия (бездействия) - 15 рабочих дней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рассмотрения жалобы на действия (бездействия) должностных лиц: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срок рассмотрения жалоб на действия (бездействия) - 20 рабочих дней</w:t>
            </w:r>
            <w:r>
              <w:rPr>
                <w:rFonts w:ascii="Liberation Serif" w:hAnsi="Liberation Serif" w:cs="Liberation Serif"/>
                <w:b w:val="0"/>
                <w:bCs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Таким образом,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утверждение постановления Правительства Белгородской области с указными изменениями является наиболее современным подходом</w:t>
        <w:br/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в организации жилищного надзора.</w:t>
      </w:r>
      <w:r>
        <w:rPr>
          <w:rFonts w:ascii="Liberation Serif" w:hAnsi="Liberation Serif" w:eastAsia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en-US"/>
        </w:rPr>
        <w:t xml:space="preserve">Предпочтительным вариантом решения проблемы управление государственного жилищного надзора Белгородской области считает утверждение проекта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постановления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Правительства Белгородской области «О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внесении изменений</w:t>
        <w:br/>
        <w:t xml:space="preserve">в постановление Правительства Белгородской области от 27 сентября 2021 года</w:t>
        <w:br/>
        <w:t xml:space="preserve">№ 429-пп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Указанный вариант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позволит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актуализировать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порядок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auto"/>
          <w:lang w:eastAsia="en-US"/>
        </w:rPr>
        <w:t xml:space="preserve">организации </w:t>
      </w:r>
      <w:r>
        <w:rPr>
          <w:rFonts w:ascii="Liberation Serif" w:hAnsi="Liberation Serif" w:eastAsia="Liberation Serif" w:cs="Liberation Serif"/>
          <w:sz w:val="26"/>
          <w:szCs w:val="26"/>
          <w:highlight w:val="white"/>
        </w:rPr>
        <w:t xml:space="preserve">организации и осуществления регионального государственного жилищного надзора на территории Белгородской области.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4.4.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 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руппа участников отношений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юрид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ические лица, индивидуальные предприниматели и граждане, в том числе товарищества собственников жилья, жилищные</w:t>
              <w:br/>
              <w:t xml:space="preserve">и жилищно-строительными кооперативы, ресурсоснабжающие организации, региональный оператор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 по обращению с твердыми коммунальным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и отходами, лица, оказывающие услуги и (или) выполняющие работы по содержанию и ремонту общего имущества в многоквартирных домах, специализированные организации, осуществляющие деятельность по техническому обслуживанию и ремонту внутридомового и (и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ли) внутриквартирного газового оборудования, организации, осуществляющие деятельность по проверке состояния и функционирования дымовых и вентиляционных каналов, их очистке и ремонту, организации, предметом деятельности которых является выполнение одно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го или нескольких видов работ при осуществлении деятельности по эксплуатации лифтов в многоквартирных домах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Количество лицензиатов - 180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</w:rPr>
      </w:r>
      <w:r>
        <w:rPr>
          <w:rFonts w:ascii="Liberation Serif" w:hAnsi="Liberation Serif" w:cs="Liberation Serif"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br/>
        <w:t xml:space="preserve">и преи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овым регулированием: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</w:r>
      <w:r>
        <w:rPr>
          <w:rFonts w:ascii="Liberation Serif" w:hAnsi="Liberation Serif" w:cs="Liberation Serif"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2893"/>
        <w:gridCol w:w="3826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Группа участников отношений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 </w:t>
              <w:br/>
              <w:t xml:space="preserve">и ограничений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Оценка изменения расходов/доходов,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издержек/выгод,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тыс. руб.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юрид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ические лица, индивидуальные предприниматели и граждане, в том числе товарищества собственников жилья, жилищные</w:t>
              <w:br/>
              <w:t xml:space="preserve">и жилищно-строительными кооперативы, ресурсоснабжающие организации, региональный оператор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 по обращению с твердыми коммунальным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и отходами, лица, оказывающие услуги и (или) выполняющие работы по содержанию и ремонту общего имущества в многоквартирных домах, специализированные организации, осуществляющие деятельность по техническому обслуживанию и ремонту внутридомового и (и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ли) внутриквартирного газового оборудования, организации, осуществляющие деятельность по проверке состояния и функционирования дымовых и вентиляционных каналов, их очистке и ремонту, организации, предметом деятельности которых является выполнение одно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  <w:highlight w:val="white"/>
              </w:rPr>
              <w:t xml:space="preserve">го или нескольких видов работ при осуществлении деятельности по эксплуатации лифтов в многоквартирных домах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Преимущества: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ю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ж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плановых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white"/>
                <w:lang w:eastAsia="zh-CN"/>
              </w:rPr>
              <w:t xml:space="preserve">я объектов контроля среднего и умеренного риска;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положения, регламентирующие проведение профилактических визитов;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основания для проведения контрольно-надзорных мероприятий;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pStyle w:val="831"/>
              <w:contextualSpacing/>
              <w:ind w:left="0" w:right="0"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контрольно-надзорные мероприятия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 проводятся только после согласования с органами прокуратуры;</w:t>
            </w:r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  <w:r/>
          </w:p>
          <w:p>
            <w:pPr>
              <w:contextualSpacing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- актуализированы сроки рассмотрения жалоб: на действия (бездействия) - 15 рабочих дней, об отнесении объекта к категории риска - 5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t xml:space="preserve">рабочих дней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Обязанности: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Cs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предоставление информации и документов, необходимых для проведения плановых контрольно-надзорных мероприятий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для объектов, отнесенных к категории высокого риска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color w:val="000000"/>
                <w:sz w:val="26"/>
                <w:szCs w:val="26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t xml:space="preserve">Общая стоимость трудозатрат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  <w:t xml:space="preserve">на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 xml:space="preserve">редоставление пакета документов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468,24 тыс.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Плановые контрольные (надзорные) мероприятия в отношении объектов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, отнесенных к категории высокого риска, проводятся один раз в два года. 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Для объектов, отнесенных к категории низкого риска, плановые контрольные (надзорные) мероприятия не проводятся.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highlight w:val="none"/>
                <w:lang w:eastAsia="ru-RU"/>
              </w:rPr>
            </w:r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81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pStyle w:val="638"/>
              <w:contextualSpacing w:val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Региональный государственный жилищный надзор будет осуществляться УГЖН Белгородской области в рамках установленных полномочий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</w:rPr>
              <w:t xml:space="preserve">Дополнительные трудозатраты</w:t>
              <w:br/>
              <w:t xml:space="preserve">не потребуются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973"/>
        <w:gridCol w:w="2976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тыс. руб.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Расходов (дополнительных поступлений) консолидированного бюджета Белгородской области</w:t>
              <w:br/>
              <w:t xml:space="preserve">не предусмотрено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</w:pPr>
            <w:r>
              <w:rPr>
                <w:rFonts w:eastAsia="Calibri"/>
                <w:lang w:eastAsia="en-US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5"/>
        <w:gridCol w:w="385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и риски негативных последствий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Оценка вероятности наступления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рисков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cantSplit/>
          <w:trHeight w:val="1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638"/>
              <w:ind w:right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Не предоставление необходимых документов хозяйствующими субъектами в целях принятии УГЖН Белгородской области решения об осуществлении государственного жилищного надзора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top"/>
            <w:textDirection w:val="lrTb"/>
            <w:noWrap w:val="false"/>
          </w:tcPr>
          <w:p>
            <w:pPr>
              <w:pStyle w:val="638"/>
              <w:ind w:right="0"/>
              <w:spacing w:after="0" w:afterAutospacing="0" w:line="240" w:lineRule="auto"/>
              <w:rPr>
                <w:rFonts w:ascii="Liberation Serif" w:hAnsi="Liberation Serif" w:cs="Liberation Serif"/>
                <w:i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</w:r>
            <w:r>
              <w:rPr>
                <w:rFonts w:ascii="Liberation Serif" w:hAnsi="Liberation Serif" w:cs="Liberation Serif"/>
                <w:iCs/>
              </w:rPr>
            </w:r>
            <w:r/>
          </w:p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Низкая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638"/>
              <w:ind w:right="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en-US"/>
              </w:rPr>
              <w:t xml:space="preserve">Мониторинг информации </w:t>
            </w:r>
            <w:r>
              <w:rPr>
                <w:rFonts w:ascii="Liberation Serif" w:hAnsi="Liberation Serif" w:eastAsia="Liberation Serif" w:cs="Liberation Serif"/>
                <w:iCs/>
                <w:sz w:val="26"/>
                <w:szCs w:val="26"/>
                <w:lang w:eastAsia="en-US"/>
              </w:rPr>
              <w:t xml:space="preserve">по управлению многоквартирными домами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6. Необходимые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Liberation Serif" w:hAnsi="Liberation Serif" w:cs="Liberation Serif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tbl>
      <w:tblPr>
        <w:tblW w:w="0" w:type="auto"/>
        <w:tblInd w:w="-1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9"/>
        <w:gridCol w:w="1559"/>
        <w:gridCol w:w="2267"/>
        <w:gridCol w:w="1560"/>
        <w:gridCol w:w="1559"/>
      </w:tblGrid>
      <w:tr>
        <w:trPr>
          <w:cantSplit w:val="false"/>
          <w:trHeight w:val="1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Сроки реализации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Описание ожидаемого результата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Объем финансиро-вания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en-US"/>
              </w:rPr>
              <w:t xml:space="preserve">Источники финансиро- 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  <w:trHeight w:val="1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Ведение журнала учета субъектов надзора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Постоянно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Учет субъектов в государственной информационной системе «Типовое облачное решение контрольной (надзорной) деятельности»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Постоянно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Подготовка ежегодного доклада о состоянии регионального государственного надзора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ежегодно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надзора)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По мере необходимости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-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701"/>
        <w:gridCol w:w="2268"/>
        <w:gridCol w:w="169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в предложенном регулировании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</w:rPr>
              <w:br/>
              <w:t xml:space="preserve">(не более 5 лет)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</w:tr>
      <w:tr>
        <w:trPr>
          <w:trHeight w:val="18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val="ru-RU"/>
              </w:rPr>
              <w:t xml:space="preserve">Минимизация количества выявленных нарушений обязательных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val="ru-RU"/>
              </w:rPr>
              <w:t xml:space="preserve">требований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Не более 20 в год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eastAsia="Liberation Serif" w:cs="Liberation Serif"/>
                <w:bCs/>
                <w:sz w:val="23"/>
                <w:szCs w:val="23"/>
              </w:rPr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Проведение контрольных (надзорных) мероприятий</w:t>
            </w:r>
            <w:r/>
            <w:r>
              <w:rPr>
                <w:rFonts w:ascii="Liberation Serif" w:hAnsi="Liberation Serif" w:eastAsia="Liberation Serif" w:cs="Liberation Serif"/>
                <w:bCs/>
                <w:sz w:val="23"/>
                <w:szCs w:val="23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6"/>
                <w:szCs w:val="26"/>
              </w:rPr>
              <w:t xml:space="preserve">Ежегодно на 1 января</w:t>
            </w:r>
            <w:r/>
            <w:r>
              <w:rPr>
                <w:rFonts w:ascii="Liberation Serif" w:hAnsi="Liberation Serif" w:cs="Liberation Serif"/>
                <w:sz w:val="26"/>
                <w:szCs w:val="26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8. Предполагаемая дата вступления в силу проекта нормативного правового акта:</w:t>
      </w:r>
      <w:r>
        <w:rPr>
          <w:rFonts w:ascii="Liberation Serif" w:hAnsi="Liberation Serif" w:eastAsia="Liberation Serif" w:cs="Liberation Serif"/>
          <w:bCs/>
          <w:sz w:val="26"/>
          <w:szCs w:val="26"/>
        </w:rPr>
        <w:t xml:space="preserve"> 4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квартал 2025 года.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57"/>
        <w:gridCol w:w="1359"/>
        <w:gridCol w:w="448"/>
        <w:gridCol w:w="448"/>
        <w:gridCol w:w="1784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Начальник управления государственного жилищного надзора Белгородской области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  <w:t xml:space="preserve">М.И. Бредихин</w:t>
            </w:r>
            <w:bookmarkStart w:id="3" w:name="_GoBack"/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bookmarkEnd w:id="3"/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(инициалы, фамилия)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b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 (дата 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  <w:lang w:eastAsia="ru-RU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link w:val="6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9" w:customStyle="1">
    <w:name w:val="Основной текст"/>
    <w:next w:val="67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50" w:customStyle="1">
    <w:name w:val="Body Text"/>
    <w:basedOn w:val="7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1A68-6A99-44EA-BE55-6421086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58</cp:revision>
  <dcterms:created xsi:type="dcterms:W3CDTF">2024-02-26T14:24:00Z</dcterms:created>
  <dcterms:modified xsi:type="dcterms:W3CDTF">2025-07-21T11:55:45Z</dcterms:modified>
</cp:coreProperties>
</file>