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чет издержек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государственной поддержки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постановлени</w:t>
      </w:r>
      <w:r>
        <w:rPr>
          <w:rFonts w:ascii="Times New Roman" w:hAnsi="Times New Roman" w:eastAsia="SimSun"/>
          <w:sz w:val="24"/>
          <w:szCs w:val="24"/>
        </w:rPr>
        <w:t xml:space="preserve">е</w:t>
      </w:r>
      <w:r>
        <w:rPr>
          <w:rFonts w:ascii="Times New Roman" w:hAnsi="Times New Roman" w:eastAsia="SimSun"/>
          <w:sz w:val="24"/>
          <w:szCs w:val="24"/>
        </w:rPr>
        <w:t xml:space="preserve"> Правительства Белгородской области «Об утверждении порядка </w:t>
      </w:r>
      <w:r>
        <w:rPr>
          <w:rFonts w:ascii="Times New Roman" w:hAnsi="Times New Roman" w:eastAsia="SimSun"/>
          <w:sz w:val="24"/>
          <w:szCs w:val="24"/>
        </w:rPr>
        <w:t xml:space="preserve">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ascii="Times New Roman" w:hAnsi="Times New Roman" w:eastAsia="SimSun"/>
          <w:sz w:val="24"/>
          <w:szCs w:val="24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</w:t>
      </w:r>
      <w:r>
        <w:rPr>
          <w:rFonts w:ascii="Times New Roman" w:hAnsi="Times New Roman" w:eastAsia="SimSun"/>
          <w:b/>
          <w:sz w:val="24"/>
          <w:szCs w:val="24"/>
        </w:rPr>
        <w:t xml:space="preserve">предоставляемо</w:t>
      </w:r>
      <w:r>
        <w:rPr>
          <w:rFonts w:ascii="Times New Roman" w:hAnsi="Times New Roman" w:eastAsia="SimSun"/>
          <w:b/>
          <w:sz w:val="24"/>
          <w:szCs w:val="24"/>
        </w:rPr>
        <w:t xml:space="preserve">й</w:t>
      </w:r>
      <w:r>
        <w:rPr>
          <w:rFonts w:ascii="Times New Roman" w:hAnsi="Times New Roman" w:eastAsia="SimSun"/>
          <w:b/>
          <w:sz w:val="24"/>
          <w:szCs w:val="24"/>
        </w:rPr>
        <w:t xml:space="preserve"> </w:t>
      </w:r>
      <w:r>
        <w:rPr>
          <w:rFonts w:ascii="Times New Roman" w:hAnsi="Times New Roman" w:eastAsia="SimSun"/>
          <w:b/>
          <w:sz w:val="24"/>
          <w:szCs w:val="24"/>
        </w:rPr>
        <w:t xml:space="preserve">субсидии</w:t>
      </w:r>
      <w:r>
        <w:rPr>
          <w:rFonts w:ascii="Times New Roman" w:hAnsi="Times New Roman" w:eastAsia="SimSun"/>
          <w:b/>
          <w:sz w:val="24"/>
          <w:szCs w:val="24"/>
        </w:rPr>
        <w:t xml:space="preserve">:</w:t>
      </w:r>
      <w:r>
        <w:rPr>
          <w:rFonts w:ascii="Times New Roman" w:hAnsi="Times New Roman" w:eastAsia="SimSun"/>
          <w:sz w:val="24"/>
          <w:szCs w:val="24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Возмещению подлежат фактически осуществленные получателем Субсидии расходы по ставкам на 1 тонну реализованных картофеля и овощей открытого грунта. Ставки ежегодно утверждаются правовым актом Министерства исходя из доведенных лимитов бюджетных средств.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документов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 в год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не менее 40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реестр произведенных затрат, направленных на производство картофеля и овощей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открытого грунта, по форме согласно приложению № 1 к Порядку, подписанный участником отбора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размера Субсидий по форме согласно приложению № 2 к Порядку, подписанный участником отбора и заверенный органом управления агропромышленного комплекса муниципального образования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/час;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копия паспорта гражданина Российской Федерации и СНИЛС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0,25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справка о постановке на учет (снятии с учета) физического лица в качестве плательщика налога на профессиональный доход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выписка(и) из похозяйственной книги, подтверждающая(ие) ведение производственной деятельности не менее чем в течение 12 месяцев, предшествующих году предоставления Субсидии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/часа;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копия реквизитов расчетного счета участника отбора, открытого им в российской кредитной организации, или справка банка об открытии рублевого счета с реквизитами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0,2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/час;</w:t>
      </w:r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копии правоустанавливающих документов на земельные участки, занятые посевами 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артофеля и овощей открытого грунта: копии свидетельства на право собственности, или выписки из Единого государственного реестра недвижимости, или копии договоров аренды (субаренды) с видом разрешенного использования для ведения личного подсобного хозяйства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0,25 чел/час;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копии документов, подтверждающих приобретение (поставку) средств производства, указанных в пункте 1.8 раздела I Порядка, в том числе: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договоры (контракты) на поставку;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товарно-транспортные накладные, акты приема-передачи или универсальные передаточные документы;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товарные чеки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чел/час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копии документов, подтверждающих расходы на приобретение средств производства, указанных в пункте 1.8 раздела I Порядка, в том числе: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платежные поручения, подтверждающие оплату, включая авансовые платежи;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документы, сформированные с применением контрольно-кассовой техники (кассовые чеки)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1,5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чел/час;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копии документов, подтверждающих факт реализации произведенной продукции: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чеки, сформированные через мобильное приложение ФНС «Мой налог» или через сервис ФНС «Мой налог»;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накладные, товарные чеки или акты приема-передачи на реализованную продукцию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чел/час;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54 164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 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322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(54164руб./21 день/8 час.)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трудозатрат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112 84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(322,4 руб.*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</w:t>
      </w:r>
      <w:r>
        <w:rPr>
          <w:rFonts w:ascii="Times New Roman" w:hAnsi="Times New Roman"/>
          <w:sz w:val="24"/>
          <w:szCs w:val="24"/>
        </w:rPr>
        <w:t xml:space="preserve">на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-2026 годы предусмотрено «</w:t>
      </w:r>
      <w:r>
        <w:rPr>
          <w:rFonts w:ascii="Times New Roman" w:hAnsi="Times New Roman"/>
          <w:sz w:val="24"/>
          <w:szCs w:val="24"/>
        </w:rPr>
        <w:t xml:space="preserve">Соглашением о предоставлении субсидии из федерального бюджета бюджету субъекта Российской Федерации</w:t>
      </w:r>
      <w:r>
        <w:rPr>
          <w:rFonts w:ascii="Times New Roman" w:hAnsi="Times New Roman"/>
          <w:sz w:val="24"/>
          <w:szCs w:val="24"/>
        </w:rPr>
        <w:t xml:space="preserve">» в объемах – </w:t>
      </w:r>
      <w:r>
        <w:rPr>
          <w:rFonts w:ascii="Times New Roman" w:hAnsi="Times New Roman"/>
          <w:sz w:val="24"/>
          <w:szCs w:val="24"/>
        </w:rPr>
        <w:t xml:space="preserve">7751,97369 тыс. руб, </w:t>
      </w:r>
      <w:r>
        <w:rPr>
          <w:rFonts w:ascii="Times New Roman" w:hAnsi="Times New Roman"/>
          <w:sz w:val="24"/>
          <w:szCs w:val="24"/>
        </w:rPr>
        <w:t xml:space="preserve">6478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78378 </w:t>
      </w:r>
      <w:r>
        <w:rPr>
          <w:rFonts w:ascii="Times New Roman" w:hAnsi="Times New Roman"/>
          <w:sz w:val="24"/>
          <w:szCs w:val="24"/>
        </w:rPr>
        <w:t xml:space="preserve">тыс.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8503,4375</w:t>
      </w:r>
      <w:r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соответственно.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598">
    <w:name w:val="Основной шрифт абзаца"/>
    <w:next w:val="598"/>
    <w:link w:val="597"/>
    <w:uiPriority w:val="1"/>
    <w:unhideWhenUsed/>
  </w:style>
  <w:style w:type="table" w:styleId="599">
    <w:name w:val="Обычная таблица"/>
    <w:next w:val="599"/>
    <w:link w:val="597"/>
    <w:uiPriority w:val="99"/>
    <w:semiHidden/>
    <w:unhideWhenUsed/>
    <w:tblPr/>
  </w:style>
  <w:style w:type="numbering" w:styleId="600">
    <w:name w:val="Нет списка"/>
    <w:next w:val="600"/>
    <w:link w:val="597"/>
    <w:uiPriority w:val="99"/>
    <w:semiHidden/>
    <w:unhideWhenUsed/>
  </w:style>
  <w:style w:type="paragraph" w:styleId="601">
    <w:name w:val="Текст выноски"/>
    <w:basedOn w:val="597"/>
    <w:next w:val="601"/>
    <w:link w:val="60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2">
    <w:name w:val="Текст выноски Знак"/>
    <w:next w:val="602"/>
    <w:link w:val="601"/>
    <w:uiPriority w:val="99"/>
    <w:semiHidden/>
    <w:rPr>
      <w:rFonts w:ascii="Segoe UI" w:hAnsi="Segoe UI" w:cs="Segoe UI"/>
      <w:sz w:val="18"/>
      <w:szCs w:val="18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9</cp:revision>
  <dcterms:created xsi:type="dcterms:W3CDTF">2022-12-28T07:59:00Z</dcterms:created>
  <dcterms:modified xsi:type="dcterms:W3CDTF">2024-04-26T07:02:42Z</dcterms:modified>
  <cp:version>1048576</cp:version>
</cp:coreProperties>
</file>