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5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1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1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1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Министерство экономического развития и промышленности Белгородской области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«О внесении изменений в постановление Правительства Белгородско</w:t>
      </w:r>
      <w:r>
        <w:rPr>
          <w:rFonts w:ascii="Times New Roman" w:hAnsi="Times New Roman" w:eastAsia="Calibri" w:cs="Times New Roman"/>
          <w:sz w:val="26"/>
          <w:szCs w:val="26"/>
        </w:rPr>
        <w:t xml:space="preserve">й области от 21 февраля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2022 года № 75-пп».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начало: «18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декабря 2023 г.;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окончание «29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декабря 2023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Степень регулирующего воздействия проекта нормативного правово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го 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Средняя. Проект нормативного правового акта содержит положения, изменяющие ранее установленный Порядок предоставле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ния субсидий из областного бюджета субъектам малого и среднего предпринимательства области в рамках мероприятия «Субсидирование части затрат субъектов малого и среднего предпринимательства на транспортировку продукции для организации экспортных поставок».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Левченко Дарья Олеговна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консультант отдела промышленности, развития экспорта 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и финансового оздоровления предприятий департамента промышленности 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и предпринимательства мини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стерства экономического развития и промышленности Белгородской области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(4722) 32-57-32 Адрес электронной почты: levchenko_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do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@belregion.ru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оторой направлен предлагаемый способ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Снижение качества оказания услуги по предоставлению субсидии субъектам МСП в связи с подачей заявителем неполного пакета документов. Выявлена необходимость в предоставлении документов при направ</w:t>
      </w:r>
      <w:r>
        <w:rPr>
          <w:rFonts w:ascii="Times New Roman" w:hAnsi="Times New Roman" w:eastAsia="Calibri" w:cs="Times New Roman"/>
          <w:sz w:val="26"/>
          <w:szCs w:val="26"/>
        </w:rPr>
        <w:t xml:space="preserve">лении заявителем отчета о достижении результата предоставления субсидии.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Проблема выявлена в результате мониторинга качества предоставления услуги.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ab/>
      </w: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Предоставление неполного пакета документов, в связи с чем требуется дополнительное время на работу с заявителем. Кроме того, в целях подтверждения результата предоставления с</w:t>
      </w:r>
      <w:r>
        <w:rPr>
          <w:rFonts w:ascii="Times New Roman" w:hAnsi="Times New Roman" w:eastAsia="Calibri" w:cs="Times New Roman"/>
          <w:sz w:val="26"/>
          <w:szCs w:val="26"/>
        </w:rPr>
        <w:t xml:space="preserve">убсидии не было предусмотрено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предоставление пакета подтверждающих документов, что затрудняло проверку представле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нного отчета.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деятельности:*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В настоящее время утверждены норма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тивно-правовые акты о мерах поддержки, направленных на компенсацию части затрат субъектов малого и среднего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предпринимательства, понесенных в результате транспортировки продукции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на экспорт, в республике Башкортостан и Московской области.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Создание оптимальных условий для оказания услуги по предоставлению субсидии субъектам малого и среднего предпринимательства области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на возмещение </w:t>
      </w:r>
      <w:r>
        <w:rPr>
          <w:rFonts w:ascii="Times New Roman" w:hAnsi="Times New Roman" w:cs="Times New Roman"/>
          <w:sz w:val="26"/>
          <w:szCs w:val="26"/>
        </w:rPr>
        <w:t xml:space="preserve">части затрат на транспортировку продукции для организации экспортных поставок</w:t>
      </w:r>
      <w:r>
        <w:rPr>
          <w:rFonts w:ascii="Times New Roman" w:hAnsi="Times New Roman" w:eastAsia="Calibri" w:cs="Times New Roman"/>
          <w:sz w:val="26"/>
          <w:szCs w:val="26"/>
        </w:rPr>
        <w:t xml:space="preserve">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Настоящий проект постановления подготовлен 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соответствие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 xml:space="preserve">с постановлением Правительства Российской Федерации от 25 октября 2023 года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государственной программ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Белгородской области «Развитие экономического потенциала и формирование благоприятного предпринимательского климата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 xml:space="preserve">в Белгородской области», утвержденной постановлением Прав</w:t>
      </w:r>
      <w:r>
        <w:rPr>
          <w:rFonts w:ascii="Times New Roman" w:hAnsi="Times New Roman" w:eastAsia="Calibri" w:cs="Times New Roman"/>
          <w:sz w:val="26"/>
          <w:szCs w:val="26"/>
        </w:rPr>
        <w:t xml:space="preserve">ительства Белгородской области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от 18 декабря 2023 года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 № б/н.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1 квартал 2024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информация о целях предлагаемого правового регулирования: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Отсутствует.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1.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Вводится новое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требовани</w:t>
      </w:r>
      <w:r>
        <w:rPr>
          <w:rFonts w:ascii="Times New Roman" w:hAnsi="Times New Roman" w:eastAsia="Calibri" w:cs="Times New Roman"/>
          <w:sz w:val="26"/>
          <w:szCs w:val="26"/>
        </w:rPr>
        <w:t xml:space="preserve">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к предоставлению пакета документов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а именно предоставление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справк</w:t>
      </w:r>
      <w:r>
        <w:rPr>
          <w:rFonts w:ascii="Times New Roman" w:hAnsi="Times New Roman" w:eastAsia="Calibri" w:cs="Times New Roman"/>
          <w:sz w:val="26"/>
          <w:szCs w:val="26"/>
        </w:rPr>
        <w:t xml:space="preserve">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 наличии по состоянию на дату формирования справки положительного, отрицательного или нулевого сальдо единого налогового счета такого налогоплательщика, плательщика сбора или налогового агента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(в случае, если участник отбора имеет неисполненную обязанность по уплате налогов, сборов, страховых взносов, пеней, штрафов, процентов), утвержденной приказом Федеральной налоговой сл</w:t>
      </w:r>
      <w:r>
        <w:rPr>
          <w:rFonts w:ascii="Times New Roman" w:hAnsi="Times New Roman" w:eastAsia="Calibri" w:cs="Times New Roman"/>
          <w:sz w:val="26"/>
          <w:szCs w:val="26"/>
        </w:rPr>
        <w:t xml:space="preserve">ужбы от 30 ноября 2022 года № ЕД-7-8/1128@ «об утверждении формы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 xml:space="preserve">или налогового агента и формата ее представления в электронной форме», код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 xml:space="preserve">по КНД 1160082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b/>
          <w:sz w:val="26"/>
          <w:szCs w:val="26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Устанавлива</w:t>
      </w:r>
      <w:r>
        <w:rPr>
          <w:rFonts w:ascii="Times New Roman" w:hAnsi="Times New Roman" w:eastAsia="Calibri" w:cs="Times New Roman"/>
          <w:sz w:val="26"/>
          <w:szCs w:val="26"/>
        </w:rPr>
        <w:t xml:space="preserve">е</w:t>
      </w:r>
      <w:r>
        <w:rPr>
          <w:rFonts w:ascii="Times New Roman" w:hAnsi="Times New Roman" w:eastAsia="Calibri" w:cs="Times New Roman"/>
          <w:sz w:val="26"/>
          <w:szCs w:val="26"/>
        </w:rPr>
        <w:t xml:space="preserve">тся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порядок внесения изменений в заявку участником отбора;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</w:t>
      </w:r>
      <w:r>
        <w:rPr>
          <w:rFonts w:ascii="Times New Roman" w:hAnsi="Times New Roman" w:eastAsia="Calibri" w:cs="Times New Roman"/>
          <w:sz w:val="26"/>
          <w:szCs w:val="26"/>
        </w:rPr>
        <w:t xml:space="preserve">. Устанавлива</w:t>
      </w:r>
      <w:r>
        <w:rPr>
          <w:rFonts w:ascii="Times New Roman" w:hAnsi="Times New Roman" w:eastAsia="Calibri" w:cs="Times New Roman"/>
          <w:sz w:val="26"/>
          <w:szCs w:val="26"/>
        </w:rPr>
        <w:t xml:space="preserve">ю</w:t>
      </w:r>
      <w:r>
        <w:rPr>
          <w:rFonts w:ascii="Times New Roman" w:hAnsi="Times New Roman" w:eastAsia="Calibri" w:cs="Times New Roman"/>
          <w:sz w:val="26"/>
          <w:szCs w:val="26"/>
        </w:rPr>
        <w:t xml:space="preserve">тся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новые требования к получателю субсидии (участнику отбора</w:t>
      </w:r>
      <w:bookmarkStart w:id="1" w:name="_GoBack"/>
      <w:r/>
      <w:bookmarkEnd w:id="1"/>
      <w:r>
        <w:rPr>
          <w:rFonts w:ascii="Times New Roman" w:hAnsi="Times New Roman" w:eastAsia="Calibri" w:cs="Times New Roman"/>
          <w:sz w:val="26"/>
          <w:szCs w:val="26"/>
        </w:rPr>
        <w:t xml:space="preserve">), которым он должен соответствовать на дату, определенную правовым актом;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</w:t>
      </w:r>
      <w:r>
        <w:rPr>
          <w:rFonts w:ascii="Times New Roman" w:hAnsi="Times New Roman" w:eastAsia="Calibri" w:cs="Times New Roman"/>
          <w:sz w:val="26"/>
          <w:szCs w:val="26"/>
        </w:rPr>
        <w:t xml:space="preserve">. Дополнена в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озможность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подписания соглашений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информационн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ой системе «Электронный бюджет»</w:t>
      </w:r>
      <w:r>
        <w:rPr>
          <w:rFonts w:ascii="Times New Roman" w:hAnsi="Times New Roman" w:eastAsia="Calibri" w:cs="Times New Roman"/>
          <w:sz w:val="26"/>
          <w:szCs w:val="26"/>
        </w:rPr>
        <w:t xml:space="preserve">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5. Конкретизируется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порядок и сроки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предоставления отчетности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а именно предоставление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отчет</w:t>
      </w:r>
      <w:r>
        <w:rPr>
          <w:rFonts w:ascii="Times New Roman" w:hAnsi="Times New Roman" w:eastAsia="Calibri" w:cs="Times New Roman"/>
          <w:sz w:val="26"/>
          <w:szCs w:val="26"/>
        </w:rPr>
        <w:t xml:space="preserve">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 достижении значения результата предоставления субсидии, установленного пунктом 3.11 раздела 3 Порядка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ежеквартально, не позднее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5 (пятого) рабочего дня, следующего за отчетным, а также с даты достижения результата предоставления субсидии, установленной соглашением, с приложением документов, установленных подпунктами «з» – «л» пункта 2.7 Порядка,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подтверждающих данные отчета, Министерство при необходимости вправе запросить дополнительные документы, подтверждающие факт отгрузки товара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на экспорт 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отчет</w:t>
      </w:r>
      <w:r>
        <w:rPr>
          <w:rFonts w:ascii="Times New Roman" w:hAnsi="Times New Roman" w:eastAsia="Calibri" w:cs="Times New Roman"/>
          <w:sz w:val="26"/>
          <w:szCs w:val="26"/>
        </w:rPr>
        <w:t xml:space="preserve">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 реализации Плана мероприят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ий – ежеквартально, не позднее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5-го рабочего дня месяца, следующего за от</w:t>
      </w:r>
      <w:r>
        <w:rPr>
          <w:rFonts w:ascii="Times New Roman" w:hAnsi="Times New Roman" w:eastAsia="Calibri" w:cs="Times New Roman"/>
          <w:sz w:val="26"/>
          <w:szCs w:val="26"/>
        </w:rPr>
        <w:t xml:space="preserve">четным, а также не позднее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10-го рабочего дня после достижения конечного значения результата предоставления субсидии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 Альтернативные варианты решения проблемы:</w:t>
      </w:r>
      <w:r/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Субсидирование части фактических понесенных затрат при транспортировке пр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одукции покупателю на внешние рынки по линии АО «Российский экспортный центр».</w:t>
      </w:r>
      <w:r/>
    </w:p>
    <w:p>
      <w:pPr>
        <w:ind w:firstLine="709"/>
        <w:spacing w:after="0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 Обоснование выбора предлагаемого способа решения проблемы:</w:t>
      </w:r>
      <w:r/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Предпочтительным вариантом решения проблемы министерство </w:t>
      </w:r>
      <w:r>
        <w:rPr>
          <w:rFonts w:ascii="Times New Roman" w:hAnsi="Times New Roman" w:eastAsia="Calibri" w:cs="Times New Roman"/>
          <w:sz w:val="26"/>
          <w:szCs w:val="26"/>
        </w:rPr>
        <w:t xml:space="preserve">экономического развития и промышленности Белгородской области считает получение субсидии из регионального бюджета в связи с более короткими сроками предоставления, что позволит снизить финансовую нагрузку на субъекты малого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и среднего предпринимательства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 стимулировать экспортные поставки субъектами, получившими меру поддержки.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Экспортно ориентированные субъекты малого и среднего предпринимательства, соответствующие критериям, установленным Федеральным законом от 24 июля 2007 года № 209-ФЗ «О развитии малого и сре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днего предпринимательства в Российской Федерации»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736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8"/>
        <w:gridCol w:w="3828"/>
        <w:gridCol w:w="212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8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тыс. руб.</w:t>
            </w:r>
            <w:r/>
          </w:p>
        </w:tc>
      </w:tr>
      <w:tr>
        <w:trPr>
          <w:cantSplit/>
          <w:trHeight w:val="38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8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Субъекты малого и сре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днего предпринимательства, соответствующие критериям, установленным Федеральным законом от 24 июля 2007 года № 209-ФЗ «О развитии малого и среднего предпринимательства в Российской Федерации»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Преимущества: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Улучшение качества предоставления услуги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Требования: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Предоставление пакета документов, необходимого для получения субсидии.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Общая стоимость требования на предоставление пакета документов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2 956,89 тыс. руб.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и промышленности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трудозатраты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отбора субъектов малого и среднего предпринимательства в форме конкурса на предоставление субсидий 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основного мероприятия 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«Субсидирование части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атрат субъектов малого и среднего предпринимательства на транспортировку продукции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экспортных поставок»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из областного бюджета в 2024 году - 20 млн руб.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обязательные требования проектом нормативного правового акта не установлены.</w:t>
      </w: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неполного пакета документов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заявителя по вопросу сбора и формирования пакета документов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Низкая активность субъектов малого и среднего предпринимательства при проведении отбора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объявлении отбора размещаются в сети Интернет, дополнительно на общедоступные адреса электронной почты экспортно ориентированным субъектам МСП направляются уведомления о проведении отбора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416"/>
        <w:gridCol w:w="1844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финансиро- 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финансиро- 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департамента в сети Интернет (http://minecprom.ru) объявления о проведении отбора в форме конкурса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пакетов документов на предоставление субсидий, предоставление поддержи субъектам МСП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заявителей по вопросам сбора и формирования пакета документов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Система-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полного пакета документов. Сокращение времени предоставления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2"/>
        <w:gridCol w:w="1989"/>
        <w:gridCol w:w="2263"/>
        <w:gridCol w:w="2801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соглашений о предоставлении субсидии с не менее чем 20 субъектами МСП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достижения результата предоставления субсидии предоставлении субсидии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2024 года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соглашений о предоставлении субсидии с не менее чем 20 субъектами МСП 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«1» января 2023 г.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Руководитель органа-разработчика</w:t>
      </w:r>
      <w:r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ind w:firstLine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(подпись)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* Заполняется для проектов нормативных правовых актов с высокой и средней степенью регулирующего воздействия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44"/>
    <w:link w:val="63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44"/>
    <w:link w:val="658"/>
    <w:uiPriority w:val="10"/>
    <w:rPr>
      <w:sz w:val="48"/>
      <w:szCs w:val="48"/>
    </w:rPr>
  </w:style>
  <w:style w:type="character" w:styleId="36">
    <w:name w:val="Subtitle Char"/>
    <w:basedOn w:val="644"/>
    <w:link w:val="660"/>
    <w:uiPriority w:val="11"/>
    <w:rPr>
      <w:sz w:val="24"/>
      <w:szCs w:val="24"/>
    </w:rPr>
  </w:style>
  <w:style w:type="character" w:styleId="38">
    <w:name w:val="Quote Char"/>
    <w:link w:val="662"/>
    <w:uiPriority w:val="29"/>
    <w:rPr>
      <w:i/>
    </w:rPr>
  </w:style>
  <w:style w:type="character" w:styleId="40">
    <w:name w:val="Intense Quote Char"/>
    <w:link w:val="664"/>
    <w:uiPriority w:val="30"/>
    <w:rPr>
      <w:i/>
    </w:rPr>
  </w:style>
  <w:style w:type="character" w:styleId="42">
    <w:name w:val="Header Char"/>
    <w:basedOn w:val="644"/>
    <w:link w:val="666"/>
    <w:uiPriority w:val="99"/>
  </w:style>
  <w:style w:type="character" w:styleId="46">
    <w:name w:val="Caption Char"/>
    <w:basedOn w:val="670"/>
    <w:link w:val="668"/>
    <w:uiPriority w:val="99"/>
  </w:style>
  <w:style w:type="character" w:styleId="175">
    <w:name w:val="Footnote Text Char"/>
    <w:link w:val="798"/>
    <w:uiPriority w:val="99"/>
    <w:rPr>
      <w:sz w:val="18"/>
    </w:rPr>
  </w:style>
  <w:style w:type="character" w:styleId="178">
    <w:name w:val="Endnote Text Char"/>
    <w:link w:val="801"/>
    <w:uiPriority w:val="99"/>
    <w:rPr>
      <w:sz w:val="20"/>
    </w:rPr>
  </w:style>
  <w:style w:type="paragraph" w:styleId="634" w:default="1">
    <w:name w:val="Normal"/>
    <w:qFormat/>
  </w:style>
  <w:style w:type="paragraph" w:styleId="635">
    <w:name w:val="Heading 1"/>
    <w:basedOn w:val="634"/>
    <w:next w:val="634"/>
    <w:link w:val="64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4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4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5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5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5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5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5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5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Заголовок 1 Знак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Заголовок 2 Знак"/>
    <w:basedOn w:val="644"/>
    <w:link w:val="636"/>
    <w:uiPriority w:val="9"/>
    <w:rPr>
      <w:rFonts w:ascii="Arial" w:hAnsi="Arial" w:eastAsia="Arial" w:cs="Arial"/>
      <w:sz w:val="34"/>
    </w:rPr>
  </w:style>
  <w:style w:type="character" w:styleId="649" w:customStyle="1">
    <w:name w:val="Заголовок 3 Знак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Заголовок 4 Знак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Заголовок 5 Знак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Заголовок 6 Знак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Заголовок 7 Знак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Заголовок 8 Знак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Заголовок 9 Знак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634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after="0" w:line="240" w:lineRule="auto"/>
    </w:pPr>
  </w:style>
  <w:style w:type="paragraph" w:styleId="658">
    <w:name w:val="Title"/>
    <w:basedOn w:val="634"/>
    <w:next w:val="634"/>
    <w:link w:val="659"/>
    <w:uiPriority w:val="10"/>
    <w:qFormat/>
    <w:pPr>
      <w:contextualSpacing/>
      <w:spacing w:before="300"/>
    </w:pPr>
    <w:rPr>
      <w:sz w:val="48"/>
      <w:szCs w:val="48"/>
    </w:rPr>
  </w:style>
  <w:style w:type="character" w:styleId="659" w:customStyle="1">
    <w:name w:val="Заголовок Знак"/>
    <w:basedOn w:val="644"/>
    <w:link w:val="658"/>
    <w:uiPriority w:val="10"/>
    <w:rPr>
      <w:sz w:val="48"/>
      <w:szCs w:val="48"/>
    </w:rPr>
  </w:style>
  <w:style w:type="paragraph" w:styleId="660">
    <w:name w:val="Subtitle"/>
    <w:basedOn w:val="634"/>
    <w:next w:val="634"/>
    <w:link w:val="661"/>
    <w:uiPriority w:val="11"/>
    <w:qFormat/>
    <w:pPr>
      <w:spacing w:before="200"/>
    </w:pPr>
    <w:rPr>
      <w:sz w:val="24"/>
      <w:szCs w:val="24"/>
    </w:rPr>
  </w:style>
  <w:style w:type="character" w:styleId="661" w:customStyle="1">
    <w:name w:val="Подзаголовок Знак"/>
    <w:basedOn w:val="644"/>
    <w:link w:val="660"/>
    <w:uiPriority w:val="11"/>
    <w:rPr>
      <w:sz w:val="24"/>
      <w:szCs w:val="24"/>
    </w:rPr>
  </w:style>
  <w:style w:type="paragraph" w:styleId="662">
    <w:name w:val="Quote"/>
    <w:basedOn w:val="634"/>
    <w:next w:val="634"/>
    <w:link w:val="663"/>
    <w:uiPriority w:val="29"/>
    <w:qFormat/>
    <w:pPr>
      <w:ind w:left="720" w:right="720"/>
    </w:pPr>
    <w:rPr>
      <w:i/>
    </w:rPr>
  </w:style>
  <w:style w:type="character" w:styleId="663" w:customStyle="1">
    <w:name w:val="Цитата 2 Знак"/>
    <w:link w:val="662"/>
    <w:uiPriority w:val="29"/>
    <w:rPr>
      <w:i/>
    </w:rPr>
  </w:style>
  <w:style w:type="paragraph" w:styleId="664">
    <w:name w:val="Intense Quote"/>
    <w:basedOn w:val="634"/>
    <w:next w:val="634"/>
    <w:link w:val="6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 w:customStyle="1">
    <w:name w:val="Выделенная цитата Знак"/>
    <w:link w:val="664"/>
    <w:uiPriority w:val="30"/>
    <w:rPr>
      <w:i/>
    </w:rPr>
  </w:style>
  <w:style w:type="paragraph" w:styleId="666">
    <w:name w:val="Header"/>
    <w:basedOn w:val="634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 w:customStyle="1">
    <w:name w:val="Верхний колонтитул Знак"/>
    <w:basedOn w:val="644"/>
    <w:link w:val="666"/>
    <w:uiPriority w:val="99"/>
  </w:style>
  <w:style w:type="paragraph" w:styleId="668">
    <w:name w:val="Footer"/>
    <w:basedOn w:val="634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 w:customStyle="1">
    <w:name w:val="Footer Char"/>
    <w:basedOn w:val="644"/>
    <w:uiPriority w:val="99"/>
  </w:style>
  <w:style w:type="paragraph" w:styleId="670">
    <w:name w:val="Caption"/>
    <w:basedOn w:val="634"/>
    <w:next w:val="6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71" w:customStyle="1">
    <w:name w:val="Нижний колонтитул Знак"/>
    <w:link w:val="668"/>
    <w:uiPriority w:val="99"/>
  </w:style>
  <w:style w:type="table" w:styleId="672">
    <w:name w:val="Table Grid"/>
    <w:basedOn w:val="6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3" w:customStyle="1">
    <w:name w:val="Table Grid Light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4">
    <w:name w:val="Plain Table 1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6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 w:customStyle="1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2" w:customStyle="1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3" w:customStyle="1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4" w:customStyle="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5" w:customStyle="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6" w:customStyle="1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07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4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5" w:customStyle="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6" w:customStyle="1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17" w:customStyle="1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18" w:customStyle="1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19" w:customStyle="1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0" w:customStyle="1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1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4" w:customStyle="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5" w:customStyle="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67" w:customStyle="1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69" w:customStyle="1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70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8" w:customStyle="1">
    <w:name w:val="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79" w:customStyle="1">
    <w:name w:val="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0" w:customStyle="1">
    <w:name w:val="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1" w:customStyle="1">
    <w:name w:val="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2" w:customStyle="1">
    <w:name w:val="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3" w:customStyle="1">
    <w:name w:val="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4" w:customStyle="1">
    <w:name w:val="Bordered &amp; 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5" w:customStyle="1">
    <w:name w:val="Bordered &amp; 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6" w:customStyle="1">
    <w:name w:val="Bordered &amp; 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7" w:customStyle="1">
    <w:name w:val="Bordered &amp; 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8" w:customStyle="1">
    <w:name w:val="Bordered &amp; 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9" w:customStyle="1">
    <w:name w:val="Bordered &amp; 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0" w:customStyle="1">
    <w:name w:val="Bordered &amp; 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1" w:customStyle="1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2" w:customStyle="1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3" w:customStyle="1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4" w:customStyle="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5" w:customStyle="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6" w:customStyle="1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797" w:customStyle="1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798">
    <w:name w:val="footnote text"/>
    <w:basedOn w:val="634"/>
    <w:link w:val="799"/>
    <w:uiPriority w:val="99"/>
    <w:semiHidden/>
    <w:unhideWhenUsed/>
    <w:pPr>
      <w:spacing w:after="40" w:line="240" w:lineRule="auto"/>
    </w:pPr>
    <w:rPr>
      <w:sz w:val="18"/>
    </w:rPr>
  </w:style>
  <w:style w:type="character" w:styleId="799" w:customStyle="1">
    <w:name w:val="Текст сноски Знак"/>
    <w:link w:val="798"/>
    <w:uiPriority w:val="99"/>
    <w:rPr>
      <w:sz w:val="18"/>
    </w:rPr>
  </w:style>
  <w:style w:type="character" w:styleId="800">
    <w:name w:val="footnote reference"/>
    <w:basedOn w:val="644"/>
    <w:uiPriority w:val="99"/>
    <w:unhideWhenUsed/>
    <w:rPr>
      <w:vertAlign w:val="superscript"/>
    </w:rPr>
  </w:style>
  <w:style w:type="paragraph" w:styleId="801">
    <w:name w:val="endnote text"/>
    <w:basedOn w:val="634"/>
    <w:link w:val="802"/>
    <w:uiPriority w:val="99"/>
    <w:semiHidden/>
    <w:unhideWhenUsed/>
    <w:pPr>
      <w:spacing w:after="0" w:line="240" w:lineRule="auto"/>
    </w:pPr>
    <w:rPr>
      <w:sz w:val="20"/>
    </w:rPr>
  </w:style>
  <w:style w:type="character" w:styleId="802" w:customStyle="1">
    <w:name w:val="Текст концевой сноски Знак"/>
    <w:link w:val="801"/>
    <w:uiPriority w:val="99"/>
    <w:rPr>
      <w:sz w:val="20"/>
    </w:rPr>
  </w:style>
  <w:style w:type="character" w:styleId="803">
    <w:name w:val="endnote reference"/>
    <w:basedOn w:val="644"/>
    <w:uiPriority w:val="99"/>
    <w:semiHidden/>
    <w:unhideWhenUsed/>
    <w:rPr>
      <w:vertAlign w:val="superscript"/>
    </w:rPr>
  </w:style>
  <w:style w:type="paragraph" w:styleId="804">
    <w:name w:val="toc 1"/>
    <w:basedOn w:val="634"/>
    <w:next w:val="634"/>
    <w:uiPriority w:val="39"/>
    <w:unhideWhenUsed/>
    <w:pPr>
      <w:spacing w:after="57"/>
    </w:pPr>
  </w:style>
  <w:style w:type="paragraph" w:styleId="805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6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7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8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09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10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11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2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3">
    <w:name w:val="TOC Heading"/>
    <w:uiPriority w:val="39"/>
    <w:unhideWhenUsed/>
  </w:style>
  <w:style w:type="paragraph" w:styleId="814">
    <w:name w:val="table of figures"/>
    <w:basedOn w:val="634"/>
    <w:next w:val="634"/>
    <w:uiPriority w:val="99"/>
    <w:unhideWhenUsed/>
    <w:pPr>
      <w:spacing w:after="0"/>
    </w:pPr>
  </w:style>
  <w:style w:type="paragraph" w:styleId="81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1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1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18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19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20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21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22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23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24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25">
    <w:name w:val="Hyperlink"/>
    <w:basedOn w:val="644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35</cp:revision>
  <dcterms:created xsi:type="dcterms:W3CDTF">2022-04-27T14:18:00Z</dcterms:created>
  <dcterms:modified xsi:type="dcterms:W3CDTF">2023-12-15T14:44:37Z</dcterms:modified>
</cp:coreProperties>
</file>