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1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</w:t>
      </w:r>
      <w:bookmarkStart w:id="2" w:name="_Hlk159860480"/>
      <w:r>
        <w:rPr>
          <w:rFonts w:ascii="Times New Roman" w:hAnsi="Times New Roman" w:eastAsia="Calibri" w:cs="Times New Roman"/>
          <w:sz w:val="26"/>
          <w:szCs w:val="26"/>
        </w:rPr>
        <w:t xml:space="preserve">О внесении изменений в постановление Правительства Белгородской области от 22 июня 2015 года № 251-пп</w:t>
      </w:r>
      <w:bookmarkEnd w:id="2"/>
      <w:r>
        <w:rPr>
          <w:rFonts w:ascii="Times New Roman" w:hAnsi="Times New Roman" w:eastAsia="Calibri" w:cs="Times New Roman"/>
          <w:sz w:val="26"/>
          <w:szCs w:val="26"/>
        </w:rPr>
        <w:t xml:space="preserve">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февраля 2024 г., 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марта 2024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Проектом постановления Правительства Белгородской области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внесении изменений в постановление Правительства Белгородской области от 22 июня 2015 года № 251-пп</w:t>
      </w:r>
      <w:r>
        <w:rPr>
          <w:rFonts w:ascii="Times New Roman" w:hAnsi="Times New Roman" w:eastAsia="Calibri" w:cs="Times New Roman"/>
          <w:sz w:val="26"/>
          <w:szCs w:val="26"/>
        </w:rPr>
        <w:t xml:space="preserve">» меняется порядок  проведение конкурсного отбора (через систему «Электронный бюджет» и федеральной государственной информационной системы «Единая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в электронной форме»,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расширяется перечень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вид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поддержки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для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осуществляющих деятельность менее 12 месяцев со дня регистрации.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утверждается порядок предоставления грантов на поддержку начинающих сельскохозяйственных потребительских кооперативов для развития материально-технической базы.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bookmarkStart w:id="3" w:name="_Hlk159860549"/>
      <w:r>
        <w:rPr>
          <w:rFonts w:ascii="Times New Roman" w:hAnsi="Times New Roman" w:eastAsia="Times New Roman" w:cs="Times New Roman"/>
          <w:sz w:val="26"/>
          <w:szCs w:val="26"/>
        </w:rPr>
        <w:t xml:space="preserve">Колистратова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Наталья Александровна</w:t>
      </w:r>
      <w:bookmarkEnd w:id="3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bookmarkStart w:id="4" w:name="_Hlk159860577"/>
      <w:r>
        <w:rPr>
          <w:rFonts w:ascii="Times New Roman" w:hAnsi="Times New Roman" w:eastAsia="Times New Roman" w:cs="Times New Roman"/>
          <w:sz w:val="26"/>
          <w:szCs w:val="26"/>
        </w:rPr>
        <w:t xml:space="preserve">заместитель начальника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</w:t>
      </w:r>
      <w:bookmarkEnd w:id="4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bookmarkStart w:id="5" w:name="_Hlk159860523"/>
      <w:r>
        <w:rPr>
          <w:rFonts w:ascii="Times New Roman" w:hAnsi="Times New Roman" w:cs="Times New Roman"/>
          <w:sz w:val="26"/>
          <w:szCs w:val="26"/>
        </w:rPr>
        <w:t xml:space="preserve">kna@belapk.ru</w:t>
      </w:r>
      <w:bookmarkEnd w:id="5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необходимость упрощения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процедуры проведение конкурсного отбора по предоставлению грантов на развития материально-технической базы кооперативов (без очного присутствия в Министерстве при предоставлении заявочной документации, электронное предоставление заявочной документации);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необходимость оказания государственной поддержки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для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начинающих 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(действующим менее 12 месяцев со дня регистрации)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получения федерального финансирования на развитие малых форм хозяйствования без утверждения регионального нормативно-правового акта;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проведения конкурсных мероприятий, отсутствие альтернативных безвозмездных методов поддержки сельскохозяйственных потребительских кооперативов в современных условиях;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получения грантовой поддержки в целях дальнейшего развития сельскохозяйственных потребительских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кооперативов.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Анализ опыта иных субъектов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показал, что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органам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исполнительной власти всех субъектов Российской Федерации ведутся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сельхозтоваропроизводителям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 Правительством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Ростовской области 05.02.2024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принято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постановление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№ 42</w:t>
      </w:r>
      <w:r>
        <w:rPr>
          <w:rFonts w:ascii="Times New Roman" w:hAnsi="Times New Roman" w:eastAsia="Calibri" w:cs="Times New Roman"/>
          <w:sz w:val="26"/>
          <w:szCs w:val="26"/>
        </w:rPr>
        <w:t xml:space="preserve">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внесении изменений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постановление Правительства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Ростовской области от 14.06.2022 № 521«О порядке предос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материально-технической базы сельскохозяйственных потребительских кооперативов»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Кабинет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Министров Республики Татарстан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готовится п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роект постановления «О внесении изменений в постановление кабинета Министров Республики Татарстан от 14 июля 2021 года № 572 «О мерах грантовой поддержки агропромышленного комплекса»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прощения процедуры проведение конкурсного отбора по предоставлению грантов на развития материально-технической базы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без очного присутствия в Министерстве при предоставлении заявочной документ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электронное предоставление заявочной документации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не предоставление заявителем документов и информации в целях подтверждения соответствия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заявителя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требованиям</w:t>
      </w: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оздание оптимальных условий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оказания государственной поддержки начинающим сельскохозяйственным потребительским кооперативам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(действующим менее 12 месяцев со дня регистрации)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соответствии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 пунктом 1 статьи 78, статьей 78.5 Бюджетного кодекса Российской Федерации,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ановлением Правительства Российской Федерации от 14 июля 2012 года № 717,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№ 1781,  общими требованиями к нормативным правовым актам, муниципальным правовым актам,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№ 1782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2024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нормативного правового акта вносятся изменения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bookmarkStart w:id="6" w:name="_Hlk158367312"/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грантов на поддержку сельскохозяйственных потребительских кооперативов для развития материально-технической базы </w:t>
      </w:r>
      <w:r>
        <w:rPr>
          <w:rFonts w:ascii="Times New Roman" w:hAnsi="Times New Roman" w:cs="Times New Roman"/>
          <w:sz w:val="26"/>
          <w:szCs w:val="26"/>
        </w:rPr>
        <w:t xml:space="preserve">в части: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Изменения порядка подачи заявок для участия в конкурсном отборе;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Проведения конкурса среди заявителей в государственной интегрированной информационной системе управления общественными финансами «Электронный бюджет»;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Перечень документов по предоставлению грантов </w:t>
      </w:r>
      <w:r>
        <w:rPr>
          <w:rFonts w:ascii="Times New Roman" w:hAnsi="Times New Roman" w:cs="Times New Roman"/>
          <w:sz w:val="26"/>
          <w:szCs w:val="26"/>
        </w:rPr>
        <w:t xml:space="preserve">на поддержку сельскохозяйственных потребительских кооперативов </w:t>
      </w:r>
      <w:r>
        <w:rPr>
          <w:rFonts w:ascii="Times New Roman" w:hAnsi="Times New Roman" w:cs="Times New Roman"/>
          <w:sz w:val="26"/>
          <w:szCs w:val="26"/>
        </w:rPr>
        <w:t xml:space="preserve">скорректирован и дополнен следующими документами: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конкретизированы формы финансово-экономическом состоянии товаропроизводителей агропромышленного комплекса за предыдущий финансовый год (форма 6-АПК,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форма 1-спр, копия налоговой декларации);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добавлено предоставление копий форм федерального государственного статистического наблюдения </w:t>
      </w:r>
      <w:r>
        <w:rPr>
          <w:rFonts w:ascii="Times New Roman" w:hAnsi="Times New Roman" w:cs="Times New Roman"/>
          <w:sz w:val="26"/>
          <w:szCs w:val="26"/>
        </w:rPr>
        <w:t xml:space="preserve">за предыдущий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принятых территориальным органом Росстата (в зависимости от вида деятельности кооператива форма № 1 кооператив, форма № 2 кооператив, форма № 4 кооператив);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- добавлено предоставление обязательства заявителя о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том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что в случае победы в конкурсе заявителю необходимо сохранить на расчетном счете денежные средства в размере, достаточном для подтверждения возможности собственного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софинансирования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реализации мероприятий проекта (бизнес-плана) до момента заключения с ним соглашения о предоставлении средств гранта;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- подписанными усиленной квалифицированной эл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ектронной подписью Заявителя копия сертификата, подтверждающего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 (в случае, если Заявитель претендует на получение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дополнительных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баллов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);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4)Перечень требований, предъявляемых к Заявителю дополнен и скорректирован следующими пунктами: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заявитель осуществляет вид экономической деятельности (имеет ОКВЭД), соответствующий заявленному направлению деятельности в соответствии с п</w:t>
      </w:r>
      <w:r>
        <w:rPr>
          <w:rFonts w:ascii="Times New Roman" w:hAnsi="Times New Roman" w:cs="Times New Roman"/>
          <w:sz w:val="26"/>
          <w:szCs w:val="26"/>
        </w:rPr>
        <w:t xml:space="preserve">роектом (бизнес-планом) и относящийся к разделу А «Сельское, лесное хозяйство, охота, рыболовство и рыбоводство» или классу 10 раздела С «Обрабатывающие производства» Общероссийского классификатора видов экономической деятельности ОК 029-2014 (КДЕС Ред. 2)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6"/>
      <w:r>
        <w:rPr>
          <w:rFonts w:ascii="Times New Roman" w:hAnsi="Times New Roman" w:cs="Times New Roman"/>
          <w:sz w:val="26"/>
          <w:szCs w:val="26"/>
        </w:rPr>
        <w:t xml:space="preserve">- заявитель не должен находи</w:t>
      </w:r>
      <w:r>
        <w:rPr>
          <w:rFonts w:ascii="Times New Roman" w:hAnsi="Times New Roman" w:cs="Times New Roman"/>
          <w:sz w:val="26"/>
          <w:szCs w:val="26"/>
        </w:rPr>
        <w:t xml:space="preserve">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rFonts w:ascii="Times New Roman" w:hAnsi="Times New Roman" w:cs="Times New Roman"/>
          <w:sz w:val="26"/>
          <w:szCs w:val="26"/>
        </w:rPr>
        <w:t xml:space="preserve">организациями и террористами или с распространением оружия массового уничтожения;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) Также проектом утверждается порядок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грантов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поддержку начинающих сельскохозяйственных потребительских кооперативов для развития материально-технической базы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развитие материально-технической базы сельскохозяйственных потребительских кооперативов, а также начинающих кооперативов за счёт собственных или заёмных (кредитных) средств</w:t>
      </w:r>
      <w:r>
        <w:rPr>
          <w:rFonts w:ascii="Times New Roman" w:hAnsi="Times New Roman" w:eastAsia="Calibri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например, при минимальном размере гранта в сумме 5 млн. руб. в случае п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ривлечения заемных средств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вышеуказанной сумме (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под процентную ставку в размере 5%</w:t>
      </w:r>
      <w:r>
        <w:rPr>
          <w:rFonts w:ascii="Times New Roman" w:hAnsi="Times New Roman" w:eastAsia="Calibri" w:cs="Times New Roman"/>
          <w:sz w:val="26"/>
          <w:szCs w:val="26"/>
        </w:rPr>
        <w:t xml:space="preserve"> (в сфере АПК)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24 месяц</w:t>
      </w:r>
      <w:r>
        <w:rPr>
          <w:rFonts w:ascii="Times New Roman" w:hAnsi="Times New Roman" w:eastAsia="Calibri" w:cs="Times New Roman"/>
          <w:sz w:val="26"/>
          <w:szCs w:val="26"/>
        </w:rPr>
        <w:t xml:space="preserve">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(срок освоения гранта)</w:t>
      </w:r>
      <w:r>
        <w:rPr>
          <w:rFonts w:ascii="Times New Roman" w:hAnsi="Times New Roman" w:eastAsia="Calibri" w:cs="Times New Roman"/>
          <w:sz w:val="26"/>
          <w:szCs w:val="26"/>
        </w:rPr>
        <w:t xml:space="preserve">)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переплата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кооператива составит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262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5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тыс. руб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среднем размере гранта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сумме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14,6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млн. руб. в случае привлечения заемных средств в вышеуказанной сумме (под процентную ставку в размере 5%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(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сфере АПК) 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на 24 месяца</w:t>
      </w:r>
      <w:r>
        <w:rPr>
          <w:rFonts w:ascii="Times New Roman" w:hAnsi="Times New Roman" w:eastAsia="Calibri" w:cs="Times New Roman"/>
          <w:sz w:val="26"/>
          <w:szCs w:val="26"/>
        </w:rPr>
        <w:t xml:space="preserve">(срок освоения гранта)</w:t>
      </w:r>
      <w:r>
        <w:rPr>
          <w:rFonts w:ascii="Times New Roman" w:hAnsi="Times New Roman" w:eastAsia="Calibri" w:cs="Times New Roman"/>
          <w:sz w:val="26"/>
          <w:szCs w:val="26"/>
        </w:rPr>
        <w:t xml:space="preserve">) переплата кооператива составит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766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5 </w:t>
      </w:r>
      <w:r>
        <w:rPr>
          <w:rFonts w:ascii="Times New Roman" w:hAnsi="Times New Roman" w:eastAsia="Calibri" w:cs="Times New Roman"/>
          <w:sz w:val="26"/>
          <w:szCs w:val="26"/>
        </w:rPr>
        <w:t xml:space="preserve">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 получение грантовой поддержки для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Предпочтительным вариантом решения проблемы считаем принятие постан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овления Правительства Белгородской области, вносящего изменения в порядок предоставления грантов на поддержку сельскохозяйственных потребительских кооперативов для развития материально-технической базы, а также утверждающего новую меру поддержки начинающих</w:t>
      </w:r>
      <w: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сельскохозяйственных потребительских кооперативов.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позволит создать оптимальные условия грантополучателям для эффективного освоения предоставленной государственной поддержки.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Данное нормативное правовое регу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лирование позволит снизить финансовую нагрузку на хозяйствующие субъекты, будет способствовать повышению заинтересованности сельскохозяйственных потребительских кооперативов в создании и развитии производства в сельской местности Белгородской области, созданию новых постоянных рабочих мест в агропромышленном комплексе.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Сельскохозяйственные потребительские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кооперативы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зарегистрированные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на сельской территории или на территории сельской агломерации и претендующие на получение гранта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189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ед.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(количество сельскохозяйственных потребительских кооперативов)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3689"/>
        <w:gridCol w:w="328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sz w:val="20"/>
                <w:szCs w:val="20"/>
              </w:rPr>
              <w:t xml:space="preserve">Сельскохозяйственные потребительские кооперативы  действующие не менее 12 месяцев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 со дня их регистрации, а также начинающие 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sz w:val="20"/>
                <w:szCs w:val="20"/>
              </w:rPr>
              <w:t xml:space="preserve">сельскохозяйственные потребительские кооперативы  действующие менее 12 месяцев</w:t>
            </w:r>
            <w:r>
              <w:rPr>
                <w:rFonts w:ascii="Times New Roman" w:hAnsi="Times New Roman" w:eastAsia="Calibri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со дня их регистрации,  зарегистрированные на сельской территории или на территории сельской агломерации и претендующие на получение гранта не менее 2 ед.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9" w:type="dxa"/>
            <w:textDirection w:val="lrTb"/>
            <w:noWrap w:val="false"/>
          </w:tcPr>
          <w:p>
            <w:pPr>
              <w:pStyle w:val="827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Преимущества:</w:t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упроще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ния процедуры проведение конкурсного отбора по предоставлению грантов на развития материально-технической базы кооперативов (без очного присутствия в Министерстве при предоставлении заявочной документации, электронное предоставление заявочной документации)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;</w:t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14"/>
                <w:szCs w:val="14"/>
                <w:lang w:eastAsia="en-US"/>
              </w:rPr>
              <w:t xml:space="preserve"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асширяется перечень видов поддержки для сельскохозяйственных потребительских кооперативов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  <w:t xml:space="preserve"> осуществляющих деятельность менее 12 месяцев со дня регистрации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;</w:t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не предоставление заявителем д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окументов и информации в целях подтверждения соответствия заявителя требованиям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</w:t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Утверждение нового порядка подачи документов (в электронном виде) позволит сократить затраты заявителей на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129,5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тыс. руб.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  <w:br/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(3 чел./часа*228,47 руб.*189 ед).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Общая стоимость требования: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49 чел/час*228,47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*189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ед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=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2 115, 86 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red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Общая стоимость требования: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45 чел/час*228,47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*189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ед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=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 1 943,14 тыс. руб.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9" w:type="dxa"/>
            <w:textDirection w:val="lrTb"/>
            <w:noWrap w:val="false"/>
          </w:tcPr>
          <w:p>
            <w:pPr>
              <w:pStyle w:val="827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Обязанности:</w:t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необходимого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пакета документов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сельскохозяйственным потребительским кооперативом действующим не менее 12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месяцев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для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участия в конкурсном отборе на получение гранта</w:t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/>
          </w:p>
          <w:p>
            <w:pPr>
              <w:pStyle w:val="827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необходимого пакета документов сельскохозяйственным потребительским кооперативом действующим менее 12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месяцев  для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участия в конкурсном отборе на получение гранта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грантов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сельскохозяйственным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потребительским кооперативам для развития материально-технической базы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2024 году будет осуществляться в виде субсидии на общую сумму                     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29 210, 52632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тыс. рублей, в том числе из федерального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бюджета 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 200, 000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тыс. руб. (76 %) и </w:t>
            </w:r>
            <w:r>
              <w:t xml:space="preserve">             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7 010, 52632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тыс. руб. (24%) из бюджета Белгородской области.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Уменьшение числа потенциальных участников мероприятий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 на развитие материально-технической базы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28"/>
              <w:ind w:left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Сокращение интереса у потенциальных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грантов. Снижение процента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выручки  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потребительских кооперативов сформированной за счет  перерабатывающей и сбытовой деятельности.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официальном сайте департамента (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belapk.ru 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арт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предоставленных грантов на развитие материально-технической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базы сельскохозяйственных потребительских кооперативов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Март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грантов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212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чествнное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1. К декабрю 2024 года оказание грантовой поддержки не менее чем   2 грантополучателям.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на оказание грантовой поддержки сельскохозяйственным потребительским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кооперативам  предусмотрено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в размере 29, 21 млн. руб.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 в течение не менее 5 лет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Квартальная отчётность в Минсельхоз РФ в «1С: Предприятие. ИС ПК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ГП»  (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Отчет об эффективности использования средств грантовой поддержки и сроков ее представления в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сельскохозяйственных потребительских кооперативов)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Ежегодно (в течение 5 лет с предоставления гранта для развитие материально-технической базы)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1 квартал 2024 года.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56"/>
        <w:gridCol w:w="1357"/>
        <w:gridCol w:w="448"/>
        <w:gridCol w:w="448"/>
        <w:gridCol w:w="1783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8"/>
    <w:link w:val="64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8"/>
    <w:link w:val="661"/>
    <w:uiPriority w:val="10"/>
    <w:rPr>
      <w:sz w:val="48"/>
      <w:szCs w:val="48"/>
    </w:rPr>
  </w:style>
  <w:style w:type="character" w:styleId="36">
    <w:name w:val="Subtitle Char"/>
    <w:basedOn w:val="648"/>
    <w:link w:val="663"/>
    <w:uiPriority w:val="11"/>
    <w:rPr>
      <w:sz w:val="24"/>
      <w:szCs w:val="24"/>
    </w:rPr>
  </w:style>
  <w:style w:type="character" w:styleId="38">
    <w:name w:val="Quote Char"/>
    <w:link w:val="665"/>
    <w:uiPriority w:val="29"/>
    <w:rPr>
      <w:i/>
    </w:rPr>
  </w:style>
  <w:style w:type="character" w:styleId="40">
    <w:name w:val="Intense Quote Char"/>
    <w:link w:val="667"/>
    <w:uiPriority w:val="30"/>
    <w:rPr>
      <w:i/>
    </w:rPr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8" w:default="1">
    <w:name w:val="Normal"/>
    <w:qFormat/>
  </w:style>
  <w:style w:type="paragraph" w:styleId="639">
    <w:name w:val="Heading 1"/>
    <w:basedOn w:val="638"/>
    <w:next w:val="638"/>
    <w:link w:val="65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5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5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5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5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5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5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5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5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53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after="0" w:line="240" w:lineRule="auto"/>
    </w:pPr>
  </w:style>
  <w:style w:type="paragraph" w:styleId="661">
    <w:name w:val="Title"/>
    <w:basedOn w:val="638"/>
    <w:next w:val="638"/>
    <w:link w:val="662"/>
    <w:uiPriority w:val="10"/>
    <w:qFormat/>
    <w:pPr>
      <w:contextualSpacing/>
      <w:spacing w:before="300"/>
    </w:pPr>
    <w:rPr>
      <w:sz w:val="48"/>
      <w:szCs w:val="48"/>
    </w:rPr>
  </w:style>
  <w:style w:type="character" w:styleId="662" w:customStyle="1">
    <w:name w:val="Заголовок Знак"/>
    <w:basedOn w:val="648"/>
    <w:link w:val="661"/>
    <w:uiPriority w:val="10"/>
    <w:rPr>
      <w:sz w:val="48"/>
      <w:szCs w:val="48"/>
    </w:rPr>
  </w:style>
  <w:style w:type="paragraph" w:styleId="663">
    <w:name w:val="Subtitle"/>
    <w:basedOn w:val="638"/>
    <w:next w:val="638"/>
    <w:link w:val="664"/>
    <w:uiPriority w:val="11"/>
    <w:qFormat/>
    <w:pPr>
      <w:spacing w:before="200"/>
    </w:pPr>
    <w:rPr>
      <w:sz w:val="24"/>
      <w:szCs w:val="24"/>
    </w:rPr>
  </w:style>
  <w:style w:type="character" w:styleId="664" w:customStyle="1">
    <w:name w:val="Подзаголовок Знак"/>
    <w:basedOn w:val="648"/>
    <w:link w:val="663"/>
    <w:uiPriority w:val="11"/>
    <w:rPr>
      <w:sz w:val="24"/>
      <w:szCs w:val="24"/>
    </w:rPr>
  </w:style>
  <w:style w:type="paragraph" w:styleId="665">
    <w:name w:val="Quote"/>
    <w:basedOn w:val="638"/>
    <w:next w:val="638"/>
    <w:link w:val="666"/>
    <w:uiPriority w:val="29"/>
    <w:qFormat/>
    <w:pPr>
      <w:ind w:left="720" w:right="720"/>
    </w:pPr>
    <w:rPr>
      <w:i/>
    </w:rPr>
  </w:style>
  <w:style w:type="character" w:styleId="666" w:customStyle="1">
    <w:name w:val="Цитата 2 Знак"/>
    <w:link w:val="665"/>
    <w:uiPriority w:val="29"/>
    <w:rPr>
      <w:i/>
    </w:rPr>
  </w:style>
  <w:style w:type="paragraph" w:styleId="667">
    <w:name w:val="Intense Quote"/>
    <w:basedOn w:val="638"/>
    <w:next w:val="638"/>
    <w:link w:val="6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 w:customStyle="1">
    <w:name w:val="Выделенная цитата Знак"/>
    <w:link w:val="667"/>
    <w:uiPriority w:val="30"/>
    <w:rPr>
      <w:i/>
    </w:rPr>
  </w:style>
  <w:style w:type="character" w:styleId="669" w:customStyle="1">
    <w:name w:val="Header Char"/>
    <w:basedOn w:val="648"/>
    <w:uiPriority w:val="99"/>
  </w:style>
  <w:style w:type="character" w:styleId="670" w:customStyle="1">
    <w:name w:val="Footer Char"/>
    <w:basedOn w:val="648"/>
    <w:uiPriority w:val="99"/>
  </w:style>
  <w:style w:type="paragraph" w:styleId="671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2" w:customStyle="1">
    <w:name w:val="Caption Char"/>
    <w:uiPriority w:val="99"/>
  </w:style>
  <w:style w:type="table" w:styleId="673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4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5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3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4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5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6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7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8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5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6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7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8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9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0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2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6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8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0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1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9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0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1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2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3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4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5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7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8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9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0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1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2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3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4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5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6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7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8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799">
    <w:name w:val="footnote text"/>
    <w:basedOn w:val="638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8"/>
    <w:uiPriority w:val="99"/>
    <w:unhideWhenUsed/>
    <w:rPr>
      <w:vertAlign w:val="superscript"/>
    </w:rPr>
  </w:style>
  <w:style w:type="paragraph" w:styleId="802">
    <w:name w:val="endnote text"/>
    <w:basedOn w:val="638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8"/>
    <w:uiPriority w:val="99"/>
    <w:semiHidden/>
    <w:unhideWhenUsed/>
    <w:rPr>
      <w:vertAlign w:val="superscript"/>
    </w:rPr>
  </w:style>
  <w:style w:type="paragraph" w:styleId="805">
    <w:name w:val="toc 1"/>
    <w:basedOn w:val="638"/>
    <w:next w:val="638"/>
    <w:uiPriority w:val="39"/>
    <w:unhideWhenUsed/>
    <w:pPr>
      <w:spacing w:after="57"/>
    </w:pPr>
  </w:style>
  <w:style w:type="paragraph" w:styleId="806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07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08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09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0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1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2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3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8"/>
    <w:next w:val="638"/>
    <w:uiPriority w:val="99"/>
    <w:unhideWhenUsed/>
    <w:pPr>
      <w:spacing w:after="0"/>
    </w:pPr>
  </w:style>
  <w:style w:type="paragraph" w:styleId="81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1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1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1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2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2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2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4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25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26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27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8">
    <w:name w:val="List Paragraph"/>
    <w:basedOn w:val="638"/>
    <w:uiPriority w:val="34"/>
    <w:qFormat/>
    <w:pPr>
      <w:contextualSpacing/>
      <w:ind w:left="720"/>
    </w:pPr>
  </w:style>
  <w:style w:type="paragraph" w:styleId="829">
    <w:name w:val="Header"/>
    <w:basedOn w:val="638"/>
    <w:link w:val="8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648"/>
    <w:link w:val="829"/>
    <w:uiPriority w:val="99"/>
  </w:style>
  <w:style w:type="paragraph" w:styleId="831">
    <w:name w:val="Footer"/>
    <w:basedOn w:val="638"/>
    <w:link w:val="8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648"/>
    <w:link w:val="831"/>
    <w:uiPriority w:val="99"/>
  </w:style>
  <w:style w:type="paragraph" w:styleId="833" w:customStyle="1">
    <w:name w:val=" 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4451-05FD-4577-87A0-01259643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7</cp:revision>
  <dcterms:created xsi:type="dcterms:W3CDTF">2024-02-26T14:24:00Z</dcterms:created>
  <dcterms:modified xsi:type="dcterms:W3CDTF">2024-02-28T07:30:01Z</dcterms:modified>
</cp:coreProperties>
</file>