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проведения оценки регулирующего воздействия в Белгородской области </w:t>
      </w:r>
      <w:r/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 полугодие 2024 года.</w:t>
      </w:r>
      <w:r/>
    </w:p>
    <w:p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left="-567" w:firstLine="567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Проведение оценки </w:t>
      </w:r>
      <w:r>
        <w:rPr>
          <w:sz w:val="24"/>
          <w:szCs w:val="24"/>
        </w:rPr>
        <w:t xml:space="preserve">регулирующего воздействия</w:t>
      </w:r>
      <w:r>
        <w:rPr>
          <w:sz w:val="24"/>
          <w:szCs w:val="24"/>
        </w:rPr>
        <w:t xml:space="preserve"> (далее - ОРВ) на территории области регулируется законом Белгородской области </w:t>
      </w:r>
      <w:r>
        <w:rPr>
          <w:sz w:val="24"/>
          <w:szCs w:val="24"/>
        </w:rPr>
        <w:t xml:space="preserve">от 1 апреля 2014 года № 270 «Об оценке регулирующего воздействия проектов нормативных правовых актов и экспертизе нормативных правовых актов в Белгородской области» и постановлением Правительства Белгородской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области</w:t>
      </w:r>
      <w:r>
        <w:rPr>
          <w:sz w:val="24"/>
          <w:szCs w:val="24"/>
        </w:rPr>
        <w:t xml:space="preserve"> от</w:t>
      </w:r>
      <w:r>
        <w:rPr>
          <w:sz w:val="24"/>
          <w:szCs w:val="24"/>
        </w:rPr>
        <w:t xml:space="preserve"> 13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2014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 378-пп «О</w:t>
      </w:r>
      <w:r>
        <w:rPr>
          <w:sz w:val="24"/>
          <w:szCs w:val="24"/>
        </w:rPr>
        <w:t xml:space="preserve">б утверждении положения </w:t>
      </w:r>
      <w:r>
        <w:rPr>
          <w:sz w:val="24"/>
          <w:szCs w:val="24"/>
        </w:rPr>
        <w:t xml:space="preserve">о проведении оценки регулирующего воздействия проектов нормативных правовых актов </w:t>
      </w:r>
      <w:r>
        <w:rPr>
          <w:sz w:val="24"/>
          <w:szCs w:val="24"/>
        </w:rPr>
        <w:t xml:space="preserve">и экспертизы нормативных правовых актов Белгородской области». На уровне муниципальных районов и городских округов также утверждены поло</w:t>
      </w:r>
      <w:r>
        <w:rPr>
          <w:sz w:val="24"/>
          <w:szCs w:val="24"/>
        </w:rPr>
        <w:t xml:space="preserve">жения о проведении ОРВ муниципальных нормативных правовых актов, затрагивающих предпринимательскую и иную экономическую деятельность.</w:t>
      </w:r>
      <w:r/>
    </w:p>
    <w:p>
      <w:pPr>
        <w:ind w:firstLine="709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p>
      <w:pPr>
        <w:ind w:firstLine="709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Сведения о проводимых в Белгородской области процедурах оценки</w:t>
      </w:r>
      <w:r/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регулирующего воздействия и экспертизы нормативных пра</w:t>
      </w:r>
      <w:r>
        <w:rPr>
          <w:b/>
          <w:sz w:val="24"/>
          <w:szCs w:val="24"/>
        </w:rPr>
        <w:t xml:space="preserve">вовых актов</w:t>
      </w:r>
      <w:r/>
    </w:p>
    <w:p>
      <w:pPr>
        <w:jc w:val="center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 </w:t>
      </w:r>
      <w:r>
        <w:rPr>
          <w:b/>
          <w:sz w:val="24"/>
          <w:szCs w:val="24"/>
          <w:lang w:val="en-US"/>
        </w:rPr>
        <w:t xml:space="preserve">I</w:t>
      </w:r>
      <w:r>
        <w:rPr>
          <w:b/>
          <w:sz w:val="24"/>
          <w:szCs w:val="24"/>
        </w:rPr>
        <w:t xml:space="preserve"> полугодие 2024 год.</w:t>
      </w:r>
      <w:r/>
    </w:p>
    <w:p>
      <w:pPr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</w:r>
      <w:r/>
    </w:p>
    <w:tbl>
      <w:tblPr>
        <w:tblStyle w:val="813"/>
        <w:tblW w:w="5184" w:type="pct"/>
        <w:tblInd w:w="-459" w:type="dxa"/>
        <w:tblLook w:val="04A0" w:firstRow="1" w:lastRow="0" w:firstColumn="1" w:lastColumn="0" w:noHBand="0" w:noVBand="1"/>
      </w:tblPr>
      <w:tblGrid>
        <w:gridCol w:w="6946"/>
        <w:gridCol w:w="2977"/>
      </w:tblGrid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Показатели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 полугодие 2024 год</w:t>
            </w:r>
            <w:r/>
          </w:p>
        </w:tc>
      </w:tr>
      <w:tr>
        <w:trPr/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1. Оценка регулирующего воздействия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1.1. Количество проектов НПА, прошедших процедуру ОРВ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Количество предложений поступивших в рамках публичных консультаций.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259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1.3. Количество предложений</w:t>
            </w:r>
            <w:r>
              <w:rPr>
                <w:sz w:val="24"/>
                <w:szCs w:val="24"/>
              </w:rPr>
              <w:t xml:space="preserve">,</w:t>
            </w:r>
            <w:r>
              <w:rPr>
                <w:sz w:val="24"/>
                <w:szCs w:val="24"/>
              </w:rPr>
              <w:t xml:space="preserve"> учтенных разработчиком НПА.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253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1.4. Количество предложений, по которым разработчиком НПА обоснована невозможность учета.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</w:t>
            </w:r>
            <w:r/>
          </w:p>
        </w:tc>
      </w:tr>
      <w:tr>
        <w:trPr/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2. Экспертиза нормативных правовых актов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2.1. Количество НПА, по которым осуществлена экспертиза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 Количество НПА, откорректированных по результатам экспертизы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gridSpan w:val="2"/>
            <w:tcW w:w="5000" w:type="pct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3. Оценка фактического воздействия нормативных правовых актов</w:t>
            </w:r>
            <w:r/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3.1. Количество НПА, по которым осуществлена ОФВ</w:t>
            </w:r>
            <w:r>
              <w:rPr>
                <w:sz w:val="24"/>
                <w:szCs w:val="24"/>
              </w:rPr>
              <w:tab/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/>
          </w:p>
        </w:tc>
      </w:tr>
      <w:tr>
        <w:trPr/>
        <w:tc>
          <w:tcPr>
            <w:tcW w:w="3500" w:type="pct"/>
            <w:vAlign w:val="center"/>
            <w:textDirection w:val="lrTb"/>
            <w:noWrap w:val="false"/>
          </w:tcPr>
          <w:p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 Количество НПА, откорректированных по результатам ОФВ</w:t>
            </w:r>
            <w:r/>
          </w:p>
        </w:tc>
        <w:tc>
          <w:tcPr>
            <w:tcW w:w="1500" w:type="pct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</w:t>
            </w:r>
            <w:r/>
          </w:p>
        </w:tc>
      </w:tr>
    </w:tbl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В I полугодии 2024 года проведены: оценка регулирующего воздействия по 17 проектам нормативных правовых актов области, экспертиза по 2 действующим нормативным правовым актам и оценка фактического воздействия по 1 нормативным правовым актам обла</w:t>
      </w:r>
      <w:r>
        <w:rPr>
          <w:rFonts w:eastAsia="Calibri"/>
          <w:sz w:val="24"/>
          <w:szCs w:val="24"/>
          <w:lang w:eastAsia="en-US"/>
        </w:rPr>
        <w:t xml:space="preserve">сти. 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 итогам проведенной оценки регулирующего воздействия в 2 </w:t>
      </w:r>
      <w:r>
        <w:rPr>
          <w:rFonts w:eastAsia="Calibri"/>
          <w:sz w:val="24"/>
          <w:szCs w:val="24"/>
          <w:lang w:eastAsia="en-US"/>
        </w:rPr>
        <w:t xml:space="preserve">проекта нормативных правовых актов внесены корректировки после подготовки уполномоченным органом – министерством экономического развития и промышленности области – заключения об ОРВ </w:t>
      </w:r>
      <w:r>
        <w:rPr>
          <w:rFonts w:eastAsia="Calibri"/>
          <w:sz w:val="24"/>
          <w:szCs w:val="24"/>
          <w:lang w:eastAsia="en-US"/>
        </w:rPr>
        <w:br/>
        <w:t xml:space="preserve">с </w:t>
      </w:r>
      <w:r>
        <w:rPr>
          <w:rFonts w:eastAsia="Calibri"/>
          <w:sz w:val="24"/>
          <w:szCs w:val="24"/>
          <w:lang w:eastAsia="en-US"/>
        </w:rPr>
        <w:t xml:space="preserve">выводом о необходимости внесения изменений в проект нормативного акта.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Экспертные заключения подготовлены по 3 действующим нормативным правовым актам. Сделан вывод о необходимости отмены 1 нормативного правового акта.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На уровне муниципальных районов и горо</w:t>
      </w:r>
      <w:r>
        <w:rPr>
          <w:rFonts w:eastAsia="Calibri"/>
          <w:sz w:val="24"/>
          <w:szCs w:val="24"/>
          <w:lang w:eastAsia="en-US"/>
        </w:rPr>
        <w:t xml:space="preserve">дских округов в I полугодии 2024 года подготовлены заключения об ОРВ по 64 проектам муниципальных нормативных правовых актов, в рамках проведения экспертизы подготовлено 13 экспертных заключений </w:t>
      </w:r>
      <w:r>
        <w:rPr>
          <w:rFonts w:eastAsia="Calibri"/>
          <w:sz w:val="24"/>
          <w:szCs w:val="24"/>
          <w:lang w:eastAsia="en-US"/>
        </w:rPr>
        <w:br/>
        <w:t xml:space="preserve">по действующим муниципальным нормативным правовым актам. </w:t>
      </w:r>
      <w:r/>
    </w:p>
    <w:p>
      <w:pPr>
        <w:ind w:left="-567" w:firstLine="708"/>
        <w:jc w:val="both"/>
        <w:spacing w:line="276" w:lineRule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Кр</w:t>
      </w:r>
      <w:r>
        <w:rPr>
          <w:rFonts w:eastAsia="Calibri"/>
          <w:sz w:val="24"/>
          <w:szCs w:val="24"/>
          <w:lang w:eastAsia="en-US"/>
        </w:rPr>
        <w:t xml:space="preserve">оме того, экспертами области принято участие в ОРВ по 60 проектам федеральных нормативных правовых актов. </w:t>
      </w:r>
      <w:r/>
    </w:p>
    <w:p>
      <w:pPr>
        <w:ind w:left="-567" w:firstLine="708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Важным элементом процедуры ОРВ является проведение публичных консультаций </w:t>
      </w:r>
      <w:r>
        <w:rPr>
          <w:sz w:val="24"/>
          <w:szCs w:val="24"/>
        </w:rPr>
        <w:br/>
        <w:t xml:space="preserve">с заинтересованными сторонами, которое позволяет выявить позиции заинтерес</w:t>
      </w:r>
      <w:r>
        <w:rPr>
          <w:sz w:val="24"/>
          <w:szCs w:val="24"/>
        </w:rPr>
        <w:t xml:space="preserve">ованных сторон, сделать процесс рассмотрения интересов всех затрагиваемых новым регулированием групп прозрачным, обеспечить свободное заявление и возможность учета данных интересов.</w:t>
      </w:r>
      <w:r/>
    </w:p>
    <w:p>
      <w:pPr>
        <w:ind w:left="-567" w:firstLine="709"/>
        <w:jc w:val="both"/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В публичных консультациях на региональном уровне в </w:t>
      </w:r>
      <w:r>
        <w:rPr>
          <w:sz w:val="24"/>
          <w:szCs w:val="24"/>
        </w:rPr>
        <w:t xml:space="preserve">I полугодии 2024 год</w:t>
      </w:r>
      <w:r>
        <w:rPr>
          <w:rFonts w:eastAsia="Calibri"/>
          <w:sz w:val="24"/>
          <w:szCs w:val="24"/>
          <w:lang w:eastAsia="en-US"/>
        </w:rPr>
        <w:t xml:space="preserve"> пр</w:t>
      </w:r>
      <w:r>
        <w:rPr>
          <w:rFonts w:eastAsia="Calibri"/>
          <w:sz w:val="24"/>
          <w:szCs w:val="24"/>
          <w:lang w:eastAsia="en-US"/>
        </w:rPr>
        <w:t xml:space="preserve">иняли  участие представители общественных организаций: </w:t>
      </w:r>
      <w:r>
        <w:rPr>
          <w:sz w:val="24"/>
          <w:szCs w:val="24"/>
        </w:rPr>
        <w:t xml:space="preserve">Союз «Торгово-промышленная палата Белгородской области», Белгородская региональная общественная организация «Центр </w:t>
      </w:r>
      <w:r>
        <w:rPr>
          <w:sz w:val="24"/>
          <w:szCs w:val="24"/>
        </w:rPr>
        <w:t xml:space="preserve">социальных инициатив «Вера»,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Белгородское региональное отделение Общероссийской общест</w:t>
      </w:r>
      <w:r>
        <w:rPr>
          <w:sz w:val="24"/>
          <w:szCs w:val="24"/>
        </w:rPr>
        <w:t xml:space="preserve">венной организации малого и среднего предпринимательства «ОПОРА РОССИИ»</w:t>
      </w:r>
      <w:r>
        <w:rPr>
          <w:rFonts w:eastAsia="Calibri"/>
          <w:sz w:val="24"/>
          <w:szCs w:val="24"/>
          <w:lang w:eastAsia="en-US"/>
        </w:rPr>
        <w:t xml:space="preserve">, </w:t>
      </w:r>
      <w:r>
        <w:rPr>
          <w:rFonts w:eastAsia="Calibri"/>
          <w:sz w:val="24"/>
          <w:szCs w:val="24"/>
          <w:lang w:eastAsia="en-US"/>
        </w:rPr>
        <w:br/>
        <w:t xml:space="preserve">а также 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  <w:r>
        <w:rPr>
          <w:sz w:val="24"/>
          <w:szCs w:val="24"/>
        </w:rPr>
        <w:t xml:space="preserve">Уполномоченный по защите прав предпринимателей в</w:t>
      </w:r>
      <w:r>
        <w:rPr>
          <w:sz w:val="24"/>
          <w:szCs w:val="24"/>
        </w:rPr>
        <w:t xml:space="preserve"> Белгородской области</w:t>
      </w:r>
      <w:r>
        <w:rPr>
          <w:rFonts w:eastAsia="Calibri"/>
          <w:sz w:val="24"/>
          <w:szCs w:val="24"/>
          <w:lang w:eastAsia="en-US"/>
        </w:rPr>
        <w:t xml:space="preserve">, Уполномоченный по правам человека в Белгородской области </w:t>
      </w:r>
      <w:r>
        <w:rPr>
          <w:rFonts w:eastAsia="Calibri"/>
          <w:sz w:val="24"/>
          <w:szCs w:val="24"/>
          <w:lang w:eastAsia="en-US"/>
        </w:rPr>
        <w:t xml:space="preserve"> и более 30 коммерческих </w:t>
        <w:br/>
        <w:t xml:space="preserve">и некоммерческих организаций различных форм собственности. </w:t>
      </w:r>
      <w:r>
        <w:rPr>
          <w:sz w:val="24"/>
          <w:szCs w:val="24"/>
        </w:rPr>
      </w:r>
    </w:p>
    <w:p>
      <w:pPr>
        <w:ind w:left="-567" w:firstLine="709"/>
        <w:jc w:val="both"/>
        <w:spacing w:line="276" w:lineRule="auto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В регионе действует совещательны</w:t>
      </w:r>
      <w:r>
        <w:rPr>
          <w:sz w:val="24"/>
          <w:szCs w:val="24"/>
        </w:rPr>
        <w:t xml:space="preserve">й орган по вопросам оценки </w:t>
      </w:r>
      <w:r>
        <w:rPr>
          <w:sz w:val="24"/>
          <w:szCs w:val="24"/>
        </w:rPr>
        <w:t xml:space="preserve">регулирующего воздействия,</w:t>
      </w:r>
      <w:r>
        <w:rPr>
          <w:sz w:val="24"/>
          <w:szCs w:val="24"/>
        </w:rPr>
        <w:t xml:space="preserve"> оценки фактического воздействия и экспертизы. </w:t>
      </w:r>
      <w:r>
        <w:rPr>
          <w:sz w:val="24"/>
          <w:szCs w:val="24"/>
        </w:rPr>
        <w:t xml:space="preserve">В I полугодии 2024 года проведены 2 заседания рабочей группы по ОРВ. </w:t>
      </w:r>
      <w:r>
        <w:rPr>
          <w:sz w:val="24"/>
          <w:szCs w:val="24"/>
        </w:rPr>
      </w:r>
    </w:p>
    <w:p>
      <w:pPr>
        <w:ind w:left="-567"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 xml:space="preserve">В целях </w:t>
      </w:r>
      <w:r>
        <w:rPr>
          <w:rFonts w:eastAsia="Arial"/>
          <w:color w:val="000000" w:themeColor="text1"/>
          <w:sz w:val="24"/>
          <w:szCs w:val="24"/>
          <w:highlight w:val="white"/>
        </w:rPr>
        <w:t xml:space="preserve">повышения качества подготовки муниципальных нормативных правовых актов, регули</w:t>
      </w:r>
      <w:r>
        <w:rPr>
          <w:rFonts w:eastAsia="Arial"/>
          <w:color w:val="000000" w:themeColor="text1"/>
          <w:sz w:val="24"/>
          <w:szCs w:val="24"/>
          <w:highlight w:val="white"/>
        </w:rPr>
        <w:t xml:space="preserve">рующих процедуру оценки регулирующего воздействия в мае и июне </w:t>
      </w:r>
      <w:r>
        <w:rPr>
          <w:rFonts w:eastAsia="Arial"/>
          <w:color w:val="000000" w:themeColor="text1"/>
          <w:sz w:val="24"/>
          <w:szCs w:val="24"/>
          <w:highlight w:val="white"/>
        </w:rPr>
        <w:br/>
        <w:t xml:space="preserve">2024 года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>
        <w:rPr>
          <w:rFonts w:eastAsia="Arial"/>
          <w:color w:val="000000" w:themeColor="text1"/>
          <w:sz w:val="24"/>
          <w:szCs w:val="24"/>
        </w:rPr>
        <w:t xml:space="preserve">проведены корпоративные обучения муниципальных служащих</w:t>
      </w:r>
      <w:r>
        <w:rPr>
          <w:rFonts w:eastAsia="Arial"/>
          <w:color w:val="000000" w:themeColor="text1"/>
          <w:sz w:val="24"/>
          <w:szCs w:val="24"/>
          <w:highlight w:val="white"/>
        </w:rPr>
        <w:t xml:space="preserve">. В семинарах приняли участие 68 </w:t>
      </w:r>
      <w:r>
        <w:rPr>
          <w:rFonts w:eastAsia="Arial"/>
          <w:color w:val="000000" w:themeColor="text1"/>
          <w:sz w:val="24"/>
          <w:szCs w:val="24"/>
        </w:rPr>
        <w:t xml:space="preserve">сотрудников из 22 муниципальных районов и городских округов области.</w:t>
      </w:r>
      <w:r/>
    </w:p>
    <w:p>
      <w:pPr>
        <w:ind w:left="-567" w:firstLine="709"/>
        <w:jc w:val="both"/>
        <w:spacing w:line="276" w:lineRule="auto"/>
        <w:shd w:val="clear" w:color="auto" w:fill="ffffff" w:themeFill="background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Информация об ОРВ в Бел</w:t>
      </w:r>
      <w:r>
        <w:rPr>
          <w:sz w:val="24"/>
          <w:szCs w:val="24"/>
        </w:rPr>
        <w:t xml:space="preserve">городской области постоянно размещается и обновляется </w:t>
      </w:r>
      <w:r>
        <w:rPr>
          <w:sz w:val="24"/>
          <w:szCs w:val="24"/>
        </w:rPr>
        <w:br/>
        <w:t xml:space="preserve">на сайтах министерства экономического развития и промышленности Белгородской области </w:t>
      </w:r>
      <w:hyperlink r:id="rId10" w:tooltip="http://minecprom.ru/" w:history="1">
        <w:r>
          <w:rPr>
            <w:rStyle w:val="820"/>
            <w:sz w:val="24"/>
            <w:szCs w:val="24"/>
          </w:rPr>
          <w:t xml:space="preserve">http://minecprom.ru/</w:t>
        </w:r>
      </w:hyperlink>
      <w:r>
        <w:rPr>
          <w:sz w:val="24"/>
          <w:szCs w:val="24"/>
        </w:rPr>
        <w:t xml:space="preserve"> и на Инвестиционном портале Белгородской области </w:t>
      </w:r>
      <w:hyperlink r:id="rId11" w:tooltip="http://www.belgorodinvest.com" w:history="1">
        <w:r>
          <w:rPr>
            <w:rStyle w:val="820"/>
            <w:sz w:val="24"/>
            <w:szCs w:val="24"/>
          </w:rPr>
          <w:t xml:space="preserve">www.belgorodinvest.com</w:t>
        </w:r>
      </w:hyperlink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За I полугодие 2024 года на сайте министерства экономического развития и промышленности области разме</w:t>
      </w:r>
      <w:r>
        <w:rPr>
          <w:sz w:val="24"/>
          <w:szCs w:val="24"/>
        </w:rPr>
        <w:t xml:space="preserve">щено 33 новостных информационных сообщени</w:t>
      </w:r>
      <w:r>
        <w:rPr>
          <w:sz w:val="24"/>
          <w:szCs w:val="24"/>
        </w:rPr>
        <w:t xml:space="preserve">я</w:t>
      </w:r>
      <w:bookmarkStart w:id="0" w:name="_GoBack"/>
      <w:r/>
      <w:bookmarkEnd w:id="0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в сфере оценки регулирующего воздействия.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3">
    <w:name w:val="Heading 1 Char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646"/>
    <w:link w:val="638"/>
    <w:uiPriority w:val="9"/>
    <w:rPr>
      <w:rFonts w:ascii="Arial" w:hAnsi="Arial" w:eastAsia="Arial" w:cs="Arial"/>
      <w:sz w:val="34"/>
    </w:rPr>
  </w:style>
  <w:style w:type="character" w:styleId="17">
    <w:name w:val="Heading 3 Char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19">
    <w:name w:val="Heading 4 Char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21">
    <w:name w:val="Heading 5 Char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23">
    <w:name w:val="Heading 6 Char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25">
    <w:name w:val="Heading 7 Char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7">
    <w:name w:val="Heading 8 Char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29">
    <w:name w:val="Heading 9 Char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character" w:styleId="34">
    <w:name w:val="Title Char"/>
    <w:basedOn w:val="646"/>
    <w:link w:val="659"/>
    <w:uiPriority w:val="10"/>
    <w:rPr>
      <w:sz w:val="48"/>
      <w:szCs w:val="48"/>
    </w:rPr>
  </w:style>
  <w:style w:type="character" w:styleId="36">
    <w:name w:val="Subtitle Char"/>
    <w:basedOn w:val="646"/>
    <w:link w:val="661"/>
    <w:uiPriority w:val="11"/>
    <w:rPr>
      <w:sz w:val="24"/>
      <w:szCs w:val="24"/>
    </w:rPr>
  </w:style>
  <w:style w:type="character" w:styleId="38">
    <w:name w:val="Quote Char"/>
    <w:link w:val="663"/>
    <w:uiPriority w:val="29"/>
    <w:rPr>
      <w:i/>
    </w:rPr>
  </w:style>
  <w:style w:type="character" w:styleId="40">
    <w:name w:val="Intense Quote Char"/>
    <w:link w:val="665"/>
    <w:uiPriority w:val="30"/>
    <w:rPr>
      <w:i/>
    </w:rPr>
  </w:style>
  <w:style w:type="character" w:styleId="175">
    <w:name w:val="Footnote Text Char"/>
    <w:link w:val="796"/>
    <w:uiPriority w:val="99"/>
    <w:rPr>
      <w:sz w:val="18"/>
    </w:rPr>
  </w:style>
  <w:style w:type="character" w:styleId="178">
    <w:name w:val="Endnote Text Char"/>
    <w:link w:val="799"/>
    <w:uiPriority w:val="99"/>
    <w:rPr>
      <w:sz w:val="20"/>
    </w:rPr>
  </w:style>
  <w:style w:type="paragraph" w:styleId="636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37">
    <w:name w:val="Heading 1"/>
    <w:basedOn w:val="636"/>
    <w:next w:val="636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5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5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43">
    <w:name w:val="Heading 7"/>
    <w:basedOn w:val="636"/>
    <w:next w:val="636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44">
    <w:name w:val="Heading 8"/>
    <w:basedOn w:val="636"/>
    <w:next w:val="636"/>
    <w:link w:val="65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45">
    <w:name w:val="Heading 9"/>
    <w:basedOn w:val="636"/>
    <w:next w:val="636"/>
    <w:link w:val="65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</w:style>
  <w:style w:type="table" w:styleId="64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8" w:default="1">
    <w:name w:val="No List"/>
    <w:uiPriority w:val="99"/>
    <w:semiHidden/>
    <w:unhideWhenUsed/>
  </w:style>
  <w:style w:type="character" w:styleId="649" w:customStyle="1">
    <w:name w:val="Заголовок 1 Знак"/>
    <w:basedOn w:val="646"/>
    <w:link w:val="637"/>
    <w:uiPriority w:val="9"/>
    <w:rPr>
      <w:rFonts w:ascii="Arial" w:hAnsi="Arial" w:eastAsia="Arial" w:cs="Arial"/>
      <w:sz w:val="40"/>
      <w:szCs w:val="40"/>
    </w:rPr>
  </w:style>
  <w:style w:type="character" w:styleId="650" w:customStyle="1">
    <w:name w:val="Заголовок 2 Знак"/>
    <w:basedOn w:val="646"/>
    <w:link w:val="638"/>
    <w:uiPriority w:val="9"/>
    <w:rPr>
      <w:rFonts w:ascii="Arial" w:hAnsi="Arial" w:eastAsia="Arial" w:cs="Arial"/>
      <w:sz w:val="34"/>
    </w:rPr>
  </w:style>
  <w:style w:type="character" w:styleId="651" w:customStyle="1">
    <w:name w:val="Заголовок 3 Знак"/>
    <w:basedOn w:val="646"/>
    <w:link w:val="639"/>
    <w:uiPriority w:val="9"/>
    <w:rPr>
      <w:rFonts w:ascii="Arial" w:hAnsi="Arial" w:eastAsia="Arial" w:cs="Arial"/>
      <w:sz w:val="30"/>
      <w:szCs w:val="30"/>
    </w:rPr>
  </w:style>
  <w:style w:type="character" w:styleId="652" w:customStyle="1">
    <w:name w:val="Заголовок 4 Знак"/>
    <w:basedOn w:val="646"/>
    <w:link w:val="640"/>
    <w:uiPriority w:val="9"/>
    <w:rPr>
      <w:rFonts w:ascii="Arial" w:hAnsi="Arial" w:eastAsia="Arial" w:cs="Arial"/>
      <w:b/>
      <w:bCs/>
      <w:sz w:val="26"/>
      <w:szCs w:val="26"/>
    </w:rPr>
  </w:style>
  <w:style w:type="character" w:styleId="653" w:customStyle="1">
    <w:name w:val="Заголовок 5 Знак"/>
    <w:basedOn w:val="646"/>
    <w:link w:val="641"/>
    <w:uiPriority w:val="9"/>
    <w:rPr>
      <w:rFonts w:ascii="Arial" w:hAnsi="Arial" w:eastAsia="Arial" w:cs="Arial"/>
      <w:b/>
      <w:bCs/>
      <w:sz w:val="24"/>
      <w:szCs w:val="24"/>
    </w:rPr>
  </w:style>
  <w:style w:type="character" w:styleId="654" w:customStyle="1">
    <w:name w:val="Заголовок 6 Знак"/>
    <w:basedOn w:val="646"/>
    <w:link w:val="642"/>
    <w:uiPriority w:val="9"/>
    <w:rPr>
      <w:rFonts w:ascii="Arial" w:hAnsi="Arial" w:eastAsia="Arial" w:cs="Arial"/>
      <w:b/>
      <w:bCs/>
      <w:sz w:val="22"/>
      <w:szCs w:val="22"/>
    </w:rPr>
  </w:style>
  <w:style w:type="character" w:styleId="655" w:customStyle="1">
    <w:name w:val="Заголовок 7 Знак"/>
    <w:basedOn w:val="646"/>
    <w:link w:val="6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6" w:customStyle="1">
    <w:name w:val="Заголовок 8 Знак"/>
    <w:basedOn w:val="646"/>
    <w:link w:val="644"/>
    <w:uiPriority w:val="9"/>
    <w:rPr>
      <w:rFonts w:ascii="Arial" w:hAnsi="Arial" w:eastAsia="Arial" w:cs="Arial"/>
      <w:i/>
      <w:iCs/>
      <w:sz w:val="22"/>
      <w:szCs w:val="22"/>
    </w:rPr>
  </w:style>
  <w:style w:type="character" w:styleId="657" w:customStyle="1">
    <w:name w:val="Заголовок 9 Знак"/>
    <w:basedOn w:val="646"/>
    <w:link w:val="645"/>
    <w:uiPriority w:val="9"/>
    <w:rPr>
      <w:rFonts w:ascii="Arial" w:hAnsi="Arial" w:eastAsia="Arial" w:cs="Arial"/>
      <w:i/>
      <w:iCs/>
      <w:sz w:val="21"/>
      <w:szCs w:val="21"/>
    </w:rPr>
  </w:style>
  <w:style w:type="paragraph" w:styleId="658">
    <w:name w:val="No Spacing"/>
    <w:uiPriority w:val="1"/>
    <w:qFormat/>
    <w:pPr>
      <w:spacing w:after="0" w:line="240" w:lineRule="auto"/>
    </w:pPr>
  </w:style>
  <w:style w:type="paragraph" w:styleId="659">
    <w:name w:val="Title"/>
    <w:basedOn w:val="636"/>
    <w:next w:val="636"/>
    <w:link w:val="66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0" w:customStyle="1">
    <w:name w:val="Название Знак"/>
    <w:basedOn w:val="646"/>
    <w:link w:val="659"/>
    <w:uiPriority w:val="10"/>
    <w:rPr>
      <w:sz w:val="48"/>
      <w:szCs w:val="48"/>
    </w:rPr>
  </w:style>
  <w:style w:type="paragraph" w:styleId="661">
    <w:name w:val="Subtitle"/>
    <w:basedOn w:val="636"/>
    <w:next w:val="636"/>
    <w:link w:val="662"/>
    <w:uiPriority w:val="11"/>
    <w:qFormat/>
    <w:pPr>
      <w:spacing w:before="200" w:after="200"/>
    </w:pPr>
    <w:rPr>
      <w:sz w:val="24"/>
      <w:szCs w:val="24"/>
    </w:rPr>
  </w:style>
  <w:style w:type="character" w:styleId="662" w:customStyle="1">
    <w:name w:val="Подзаголовок Знак"/>
    <w:basedOn w:val="646"/>
    <w:link w:val="661"/>
    <w:uiPriority w:val="11"/>
    <w:rPr>
      <w:sz w:val="24"/>
      <w:szCs w:val="24"/>
    </w:rPr>
  </w:style>
  <w:style w:type="paragraph" w:styleId="663">
    <w:name w:val="Quote"/>
    <w:basedOn w:val="636"/>
    <w:next w:val="636"/>
    <w:link w:val="664"/>
    <w:uiPriority w:val="29"/>
    <w:qFormat/>
    <w:pPr>
      <w:ind w:left="720" w:right="720"/>
    </w:pPr>
    <w:rPr>
      <w:i/>
    </w:rPr>
  </w:style>
  <w:style w:type="character" w:styleId="664" w:customStyle="1">
    <w:name w:val="Цитата 2 Знак"/>
    <w:link w:val="663"/>
    <w:uiPriority w:val="29"/>
    <w:rPr>
      <w:i/>
    </w:rPr>
  </w:style>
  <w:style w:type="paragraph" w:styleId="665">
    <w:name w:val="Intense Quote"/>
    <w:basedOn w:val="636"/>
    <w:next w:val="636"/>
    <w:link w:val="66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6" w:customStyle="1">
    <w:name w:val="Выделенная цитата Знак"/>
    <w:link w:val="665"/>
    <w:uiPriority w:val="30"/>
    <w:rPr>
      <w:i/>
    </w:rPr>
  </w:style>
  <w:style w:type="character" w:styleId="667" w:customStyle="1">
    <w:name w:val="Header Char"/>
    <w:basedOn w:val="646"/>
    <w:uiPriority w:val="99"/>
  </w:style>
  <w:style w:type="character" w:styleId="668" w:customStyle="1">
    <w:name w:val="Footer Char"/>
    <w:basedOn w:val="646"/>
    <w:uiPriority w:val="99"/>
  </w:style>
  <w:style w:type="paragraph" w:styleId="669">
    <w:name w:val="Caption"/>
    <w:basedOn w:val="636"/>
    <w:next w:val="63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 w:customStyle="1">
    <w:name w:val="Caption Char"/>
    <w:uiPriority w:val="99"/>
  </w:style>
  <w:style w:type="table" w:styleId="671" w:customStyle="1">
    <w:name w:val="Table Grid Light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2">
    <w:name w:val="Plain Table 1"/>
    <w:basedOn w:val="647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647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 w:customStyle="1">
    <w:name w:val="Grid Table 1 Light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 w:customStyle="1">
    <w:name w:val="Grid Table 1 Light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 w:customStyle="1">
    <w:name w:val="Grid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 w:customStyle="1">
    <w:name w:val="Grid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 w:customStyle="1">
    <w:name w:val="Grid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 w:customStyle="1">
    <w:name w:val="Grid Table 4 - Accent 1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00" w:customStyle="1">
    <w:name w:val="Grid Table 4 - Accent 2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01" w:customStyle="1">
    <w:name w:val="Grid Table 4 - Accent 3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02" w:customStyle="1">
    <w:name w:val="Grid Table 4 - Accent 4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03" w:customStyle="1">
    <w:name w:val="Grid Table 4 - Accent 5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04" w:customStyle="1">
    <w:name w:val="Grid Table 4 - Accent 6"/>
    <w:basedOn w:val="647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05">
    <w:name w:val="Grid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6" w:customStyle="1">
    <w:name w:val="Grid Table 5 Dark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07" w:customStyle="1">
    <w:name w:val="Grid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12">
    <w:name w:val="Grid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3" w:customStyle="1">
    <w:name w:val="Grid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14" w:customStyle="1">
    <w:name w:val="Grid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15" w:customStyle="1">
    <w:name w:val="Grid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16" w:customStyle="1">
    <w:name w:val="Grid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17" w:customStyle="1">
    <w:name w:val="Grid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8" w:customStyle="1">
    <w:name w:val="Grid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19">
    <w:name w:val="Grid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List Table 1 Light - Accent 1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List Table 1 Light - Accent 2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3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4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5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6"/>
    <w:basedOn w:val="647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4" w:customStyle="1">
    <w:name w:val="List Table 2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35" w:customStyle="1">
    <w:name w:val="List Table 2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List Table 3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List Table 3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4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 w:customStyle="1">
    <w:name w:val="List Table 4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5" w:customStyle="1">
    <w:name w:val="List Table 5 Dark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6" w:customStyle="1">
    <w:name w:val="List Table 5 Dark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>
    <w:name w:val="List Table 6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2" w:customStyle="1">
    <w:name w:val="List Table 6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63" w:customStyle="1">
    <w:name w:val="List Table 6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64" w:customStyle="1">
    <w:name w:val="List Table 6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65" w:customStyle="1">
    <w:name w:val="List Table 6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66" w:customStyle="1">
    <w:name w:val="List Table 6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67" w:customStyle="1">
    <w:name w:val="List Table 6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68">
    <w:name w:val="List Table 7 Colorful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7 Colorful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7 Colorful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7 Colorful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7 Colorful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7 Colorful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7 Colorful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6" w:customStyle="1">
    <w:name w:val="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77" w:customStyle="1">
    <w:name w:val="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78" w:customStyle="1">
    <w:name w:val="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79" w:customStyle="1">
    <w:name w:val="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0" w:customStyle="1">
    <w:name w:val="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1" w:customStyle="1">
    <w:name w:val="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2" w:customStyle="1">
    <w:name w:val="Bordered &amp; Lined - Accent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3" w:customStyle="1">
    <w:name w:val="Bordered &amp; Lined - Accent 1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4" w:customStyle="1">
    <w:name w:val="Bordered &amp; Lined - Accent 2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85" w:customStyle="1">
    <w:name w:val="Bordered &amp; Lined - Accent 3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86" w:customStyle="1">
    <w:name w:val="Bordered &amp; Lined - Accent 4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87" w:customStyle="1">
    <w:name w:val="Bordered &amp; Lined - Accent 5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88" w:customStyle="1">
    <w:name w:val="Bordered &amp; Lined - Accent 6"/>
    <w:basedOn w:val="64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89" w:customStyle="1">
    <w:name w:val="Bordered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0" w:customStyle="1">
    <w:name w:val="Bordered - Accent 1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791" w:customStyle="1">
    <w:name w:val="Bordered - Accent 2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792" w:customStyle="1">
    <w:name w:val="Bordered - Accent 3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793" w:customStyle="1">
    <w:name w:val="Bordered - Accent 4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794" w:customStyle="1">
    <w:name w:val="Bordered - Accent 5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795" w:customStyle="1">
    <w:name w:val="Bordered - Accent 6"/>
    <w:basedOn w:val="647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796">
    <w:name w:val="footnote text"/>
    <w:basedOn w:val="636"/>
    <w:link w:val="797"/>
    <w:uiPriority w:val="99"/>
    <w:semiHidden/>
    <w:unhideWhenUsed/>
    <w:pPr>
      <w:spacing w:after="40"/>
    </w:pPr>
    <w:rPr>
      <w:sz w:val="18"/>
    </w:rPr>
  </w:style>
  <w:style w:type="character" w:styleId="797" w:customStyle="1">
    <w:name w:val="Текст сноски Знак"/>
    <w:link w:val="796"/>
    <w:uiPriority w:val="99"/>
    <w:rPr>
      <w:sz w:val="18"/>
    </w:rPr>
  </w:style>
  <w:style w:type="character" w:styleId="798">
    <w:name w:val="footnote reference"/>
    <w:basedOn w:val="646"/>
    <w:uiPriority w:val="99"/>
    <w:unhideWhenUsed/>
    <w:rPr>
      <w:vertAlign w:val="superscript"/>
    </w:rPr>
  </w:style>
  <w:style w:type="paragraph" w:styleId="799">
    <w:name w:val="endnote text"/>
    <w:basedOn w:val="636"/>
    <w:link w:val="800"/>
    <w:uiPriority w:val="99"/>
    <w:semiHidden/>
    <w:unhideWhenUsed/>
  </w:style>
  <w:style w:type="character" w:styleId="800" w:customStyle="1">
    <w:name w:val="Текст концевой сноски Знак"/>
    <w:link w:val="799"/>
    <w:uiPriority w:val="99"/>
    <w:rPr>
      <w:sz w:val="20"/>
    </w:rPr>
  </w:style>
  <w:style w:type="character" w:styleId="801">
    <w:name w:val="endnote reference"/>
    <w:basedOn w:val="646"/>
    <w:uiPriority w:val="99"/>
    <w:semiHidden/>
    <w:unhideWhenUsed/>
    <w:rPr>
      <w:vertAlign w:val="superscript"/>
    </w:rPr>
  </w:style>
  <w:style w:type="paragraph" w:styleId="802">
    <w:name w:val="toc 1"/>
    <w:basedOn w:val="636"/>
    <w:next w:val="636"/>
    <w:uiPriority w:val="39"/>
    <w:unhideWhenUsed/>
    <w:pPr>
      <w:spacing w:after="57"/>
    </w:pPr>
  </w:style>
  <w:style w:type="paragraph" w:styleId="803">
    <w:name w:val="toc 2"/>
    <w:basedOn w:val="636"/>
    <w:next w:val="636"/>
    <w:uiPriority w:val="39"/>
    <w:unhideWhenUsed/>
    <w:pPr>
      <w:ind w:left="283"/>
      <w:spacing w:after="57"/>
    </w:pPr>
  </w:style>
  <w:style w:type="paragraph" w:styleId="804">
    <w:name w:val="toc 3"/>
    <w:basedOn w:val="636"/>
    <w:next w:val="636"/>
    <w:uiPriority w:val="39"/>
    <w:unhideWhenUsed/>
    <w:pPr>
      <w:ind w:left="567"/>
      <w:spacing w:after="57"/>
    </w:pPr>
  </w:style>
  <w:style w:type="paragraph" w:styleId="805">
    <w:name w:val="toc 4"/>
    <w:basedOn w:val="636"/>
    <w:next w:val="636"/>
    <w:uiPriority w:val="39"/>
    <w:unhideWhenUsed/>
    <w:pPr>
      <w:ind w:left="850"/>
      <w:spacing w:after="57"/>
    </w:pPr>
  </w:style>
  <w:style w:type="paragraph" w:styleId="806">
    <w:name w:val="toc 5"/>
    <w:basedOn w:val="636"/>
    <w:next w:val="636"/>
    <w:uiPriority w:val="39"/>
    <w:unhideWhenUsed/>
    <w:pPr>
      <w:ind w:left="1134"/>
      <w:spacing w:after="57"/>
    </w:pPr>
  </w:style>
  <w:style w:type="paragraph" w:styleId="807">
    <w:name w:val="toc 6"/>
    <w:basedOn w:val="636"/>
    <w:next w:val="636"/>
    <w:uiPriority w:val="39"/>
    <w:unhideWhenUsed/>
    <w:pPr>
      <w:ind w:left="1417"/>
      <w:spacing w:after="57"/>
    </w:pPr>
  </w:style>
  <w:style w:type="paragraph" w:styleId="808">
    <w:name w:val="toc 7"/>
    <w:basedOn w:val="636"/>
    <w:next w:val="636"/>
    <w:uiPriority w:val="39"/>
    <w:unhideWhenUsed/>
    <w:pPr>
      <w:ind w:left="1701"/>
      <w:spacing w:after="57"/>
    </w:pPr>
  </w:style>
  <w:style w:type="paragraph" w:styleId="809">
    <w:name w:val="toc 8"/>
    <w:basedOn w:val="636"/>
    <w:next w:val="636"/>
    <w:uiPriority w:val="39"/>
    <w:unhideWhenUsed/>
    <w:pPr>
      <w:ind w:left="1984"/>
      <w:spacing w:after="57"/>
    </w:pPr>
  </w:style>
  <w:style w:type="paragraph" w:styleId="810">
    <w:name w:val="toc 9"/>
    <w:basedOn w:val="636"/>
    <w:next w:val="636"/>
    <w:uiPriority w:val="39"/>
    <w:unhideWhenUsed/>
    <w:pPr>
      <w:ind w:left="2268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636"/>
    <w:next w:val="636"/>
    <w:uiPriority w:val="99"/>
    <w:unhideWhenUsed/>
  </w:style>
  <w:style w:type="table" w:styleId="813">
    <w:name w:val="Table Grid"/>
    <w:basedOn w:val="647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14">
    <w:name w:val="Header"/>
    <w:basedOn w:val="636"/>
    <w:link w:val="81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15" w:customStyle="1">
    <w:name w:val="Верхний колонтитул Знак"/>
    <w:basedOn w:val="646"/>
    <w:link w:val="81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6">
    <w:name w:val="Footer"/>
    <w:basedOn w:val="636"/>
    <w:link w:val="817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17" w:customStyle="1">
    <w:name w:val="Нижний колонтитул Знак"/>
    <w:basedOn w:val="646"/>
    <w:link w:val="81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18">
    <w:name w:val="Balloon Text"/>
    <w:basedOn w:val="636"/>
    <w:link w:val="819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19" w:customStyle="1">
    <w:name w:val="Текст выноски Знак"/>
    <w:basedOn w:val="646"/>
    <w:link w:val="818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character" w:styleId="820">
    <w:name w:val="Hyperlink"/>
    <w:basedOn w:val="646"/>
    <w:uiPriority w:val="99"/>
    <w:unhideWhenUsed/>
    <w:rPr>
      <w:color w:val="0000ff" w:themeColor="hyperlink"/>
      <w:u w:val="single"/>
    </w:rPr>
  </w:style>
  <w:style w:type="character" w:styleId="821" w:customStyle="1">
    <w:name w:val="Неразрешенное упоминание1"/>
    <w:basedOn w:val="646"/>
    <w:uiPriority w:val="99"/>
    <w:semiHidden/>
    <w:unhideWhenUsed/>
    <w:rPr>
      <w:color w:val="808080"/>
      <w:shd w:val="clear" w:color="auto" w:fill="e6e6e6"/>
    </w:rPr>
  </w:style>
  <w:style w:type="paragraph" w:styleId="822">
    <w:name w:val="Block Text"/>
    <w:basedOn w:val="636"/>
    <w:pPr>
      <w:ind w:left="-426" w:right="568"/>
      <w:jc w:val="both"/>
      <w:tabs>
        <w:tab w:val="left" w:pos="-426" w:leader="none"/>
      </w:tabs>
    </w:pPr>
    <w:rPr>
      <w:sz w:val="26"/>
    </w:rPr>
  </w:style>
  <w:style w:type="paragraph" w:styleId="823">
    <w:name w:val="Body Text Indent 2"/>
    <w:basedOn w:val="636"/>
    <w:link w:val="824"/>
    <w:pPr>
      <w:ind w:left="720" w:firstLine="720"/>
      <w:jc w:val="both"/>
    </w:pPr>
    <w:rPr>
      <w:sz w:val="26"/>
    </w:rPr>
  </w:style>
  <w:style w:type="character" w:styleId="824" w:customStyle="1">
    <w:name w:val="Основной текст с отступом 2 Знак"/>
    <w:basedOn w:val="646"/>
    <w:link w:val="823"/>
    <w:rPr>
      <w:rFonts w:ascii="Times New Roman" w:hAnsi="Times New Roman" w:eastAsia="Times New Roman" w:cs="Times New Roman"/>
      <w:sz w:val="26"/>
      <w:szCs w:val="20"/>
      <w:lang w:eastAsia="ru-RU"/>
    </w:rPr>
  </w:style>
  <w:style w:type="paragraph" w:styleId="825">
    <w:name w:val="List Paragraph"/>
    <w:basedOn w:val="636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://minecprom.ru/" TargetMode="External"/><Relationship Id="rId11" Type="http://schemas.openxmlformats.org/officeDocument/2006/relationships/hyperlink" Target="http://www.belgorodinvest.co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49707-FEE2-485C-823B-0ABFA70C1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revision>43</cp:revision>
  <dcterms:created xsi:type="dcterms:W3CDTF">2023-08-07T12:27:00Z</dcterms:created>
  <dcterms:modified xsi:type="dcterms:W3CDTF">2024-09-26T14:31:41Z</dcterms:modified>
</cp:coreProperties>
</file>