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999999"/>
        <w:rPr>
          <w:b/>
          <w:sz w:val="26"/>
          <w:szCs w:val="26"/>
        </w:rPr>
        <w:pBdr>
          <w:top w:val="single" w:color="auto" w:sz="4" w:space="8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6"/>
          <w:szCs w:val="26"/>
        </w:rPr>
        <w:t xml:space="preserve">Информационное сообщение</w:t>
      </w:r>
      <w:r>
        <w:rPr>
          <w:sz w:val="26"/>
          <w:szCs w:val="26"/>
        </w:rPr>
      </w:r>
      <w:r/>
    </w:p>
    <w:p>
      <w:pPr>
        <w:jc w:val="center"/>
        <w:shd w:val="clear" w:color="auto" w:fill="999999"/>
        <w:rPr>
          <w:b/>
          <w:sz w:val="26"/>
          <w:szCs w:val="26"/>
        </w:rPr>
        <w:pBdr>
          <w:top w:val="single" w:color="auto" w:sz="4" w:space="8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6"/>
          <w:szCs w:val="26"/>
        </w:rPr>
        <w:t xml:space="preserve">Настоящим </w:t>
      </w:r>
      <w:r>
        <w:rPr>
          <w:b/>
          <w:sz w:val="26"/>
          <w:szCs w:val="26"/>
        </w:rPr>
        <w:t xml:space="preserve">министерство</w:t>
      </w:r>
      <w:r>
        <w:rPr>
          <w:b/>
          <w:sz w:val="26"/>
          <w:szCs w:val="26"/>
        </w:rPr>
        <w:t xml:space="preserve"> экономического развития</w:t>
      </w:r>
      <w:r>
        <w:rPr>
          <w:b/>
          <w:sz w:val="26"/>
          <w:szCs w:val="26"/>
        </w:rPr>
        <w:t xml:space="preserve"> и промышленности</w:t>
      </w:r>
      <w:r>
        <w:rPr>
          <w:b/>
          <w:sz w:val="26"/>
          <w:szCs w:val="26"/>
        </w:rPr>
        <w:t xml:space="preserve"> Белгородской области </w:t>
      </w:r>
      <w:r>
        <w:rPr>
          <w:b/>
          <w:sz w:val="26"/>
          <w:szCs w:val="26"/>
        </w:rPr>
        <w:t xml:space="preserve">уведомляет о проведении публичных консультаций в целях </w:t>
      </w:r>
      <w:r>
        <w:rPr>
          <w:b/>
          <w:sz w:val="26"/>
          <w:szCs w:val="26"/>
        </w:rPr>
        <w:t xml:space="preserve">экспертизы </w:t>
      </w:r>
      <w:r>
        <w:rPr>
          <w:b/>
          <w:sz w:val="26"/>
          <w:szCs w:val="26"/>
        </w:rPr>
        <w:t xml:space="preserve">нормативного правового акта</w:t>
      </w:r>
      <w:r>
        <w:rPr>
          <w:sz w:val="26"/>
          <w:szCs w:val="26"/>
        </w:rPr>
      </w:r>
      <w:r/>
    </w:p>
    <w:p>
      <w:pPr>
        <w:jc w:val="center"/>
        <w:shd w:val="clear" w:color="auto" w:fill="999999"/>
        <w:rPr>
          <w:b/>
          <w:sz w:val="26"/>
          <w:szCs w:val="26"/>
        </w:rPr>
        <w:pBdr>
          <w:top w:val="single" w:color="auto" w:sz="4" w:space="8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</w:rPr>
        <w:t xml:space="preserve">А</w:t>
      </w:r>
      <w:r>
        <w:rPr>
          <w:rFonts w:ascii="Times New Roman" w:hAnsi="Times New Roman" w:cs="Times New Roman"/>
          <w:b/>
          <w:sz w:val="26"/>
          <w:szCs w:val="26"/>
        </w:rPr>
        <w:t xml:space="preserve">кт: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  <w:highlight w:val="none"/>
        </w:rPr>
        <w:t xml:space="preserve">постановлен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  <w:highlight w:val="none"/>
        </w:rPr>
        <w:t xml:space="preserve">ие Правительства Белгородской области от 15 августа 2016 года </w:t>
        <w:br/>
        <w:t xml:space="preserve">№ 306-пп </w:t>
      </w:r>
      <w:r>
        <w:rPr>
          <w:rFonts w:ascii="Times New Roman" w:hAnsi="Times New Roman" w:eastAsia="TimesNewRoman" w:cs="Times New Roman"/>
          <w:color w:val="000000"/>
          <w:sz w:val="26"/>
          <w:szCs w:val="26"/>
        </w:rPr>
        <w:t xml:space="preserve">«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  <w:highlight w:val="none"/>
        </w:rPr>
        <w:t xml:space="preserve">Об утверждении Порядка разработки и утверждения нормативов образования отходов и лимитов на их размещение применительно </w:t>
        <w:br/>
        <w:t xml:space="preserve">к хозяйственной и (или) иной деятельности юри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  <w:highlight w:val="none"/>
        </w:rPr>
        <w:t xml:space="preserve">дических лиц и индивидуальных предпринимателей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надзору</w:t>
      </w:r>
      <w:r>
        <w:rPr>
          <w:rFonts w:ascii="Times New Roman" w:hAnsi="Times New Roman" w:eastAsia="TimesNewRoman" w:cs="Times New Roman"/>
          <w:sz w:val="26"/>
          <w:szCs w:val="26"/>
        </w:rPr>
        <w:t xml:space="preserve">».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</w:rPr>
        <w:t xml:space="preserve">Разработчик</w:t>
      </w:r>
      <w:r>
        <w:rPr>
          <w:rFonts w:ascii="Times New Roman" w:hAnsi="Times New Roman" w:cs="Times New Roman"/>
          <w:b/>
          <w:sz w:val="26"/>
          <w:szCs w:val="26"/>
        </w:rPr>
        <w:t xml:space="preserve"> акта:</w:t>
      </w:r>
      <w:r>
        <w:rPr>
          <w:rFonts w:ascii="Times New Roman" w:hAnsi="Times New Roman" w:cs="Times New Roman"/>
          <w:b/>
          <w:sz w:val="26"/>
          <w:szCs w:val="26"/>
        </w:rPr>
        <w:t xml:space="preserve"> </w:t>
      </w:r>
      <w:r>
        <w:rPr>
          <w:rFonts w:ascii="Times New Roman" w:hAnsi="Times New Roman" w:eastAsia="Arial" w:cs="Times New Roman"/>
          <w:b w:val="0"/>
          <w:bCs w:val="0"/>
          <w:color w:val="010b23"/>
          <w:sz w:val="26"/>
          <w:szCs w:val="26"/>
        </w:rPr>
        <w:t xml:space="preserve">министерство жилищно-коммунального хозяйства области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b w:val="0"/>
          <w:bCs w:val="0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</w:rPr>
        <w:t xml:space="preserve">Сроки проведения публичных консультаций: </w:t>
      </w:r>
      <w:r>
        <w:rPr>
          <w:rFonts w:ascii="Times New Roman" w:hAnsi="Times New Roman" w:cs="Times New Roman"/>
          <w:bCs/>
          <w:sz w:val="26"/>
          <w:szCs w:val="26"/>
        </w:rPr>
        <w:t xml:space="preserve">10.</w:t>
      </w:r>
      <w:r>
        <w:rPr>
          <w:rFonts w:ascii="Times New Roman" w:hAnsi="Times New Roman" w:cs="Times New Roman"/>
          <w:sz w:val="26"/>
          <w:szCs w:val="26"/>
        </w:rPr>
        <w:t xml:space="preserve">04.20</w:t>
      </w:r>
      <w:r>
        <w:rPr>
          <w:rFonts w:ascii="Times New Roman" w:hAnsi="Times New Roman" w:cs="Times New Roman"/>
          <w:sz w:val="26"/>
          <w:szCs w:val="26"/>
        </w:rPr>
        <w:t xml:space="preserve">2</w:t>
      </w:r>
      <w:r>
        <w:rPr>
          <w:rFonts w:ascii="Times New Roman" w:hAnsi="Times New Roman" w:cs="Times New Roman"/>
          <w:sz w:val="26"/>
          <w:szCs w:val="26"/>
        </w:rPr>
        <w:t xml:space="preserve">6 </w:t>
      </w:r>
      <w:r>
        <w:rPr>
          <w:rFonts w:ascii="Times New Roman" w:hAnsi="Times New Roman" w:cs="Times New Roman"/>
          <w:sz w:val="26"/>
          <w:szCs w:val="26"/>
        </w:rPr>
        <w:t xml:space="preserve">г. - 08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  <w:t xml:space="preserve">0</w:t>
      </w:r>
      <w:r>
        <w:rPr>
          <w:rFonts w:ascii="Times New Roman" w:hAnsi="Times New Roman" w:cs="Times New Roman"/>
          <w:sz w:val="26"/>
          <w:szCs w:val="26"/>
        </w:rPr>
        <w:t xml:space="preserve">5.202</w:t>
      </w:r>
      <w:r>
        <w:rPr>
          <w:rFonts w:ascii="Times New Roman" w:hAnsi="Times New Roman" w:cs="Times New Roman"/>
          <w:sz w:val="26"/>
          <w:szCs w:val="26"/>
        </w:rPr>
        <w:t xml:space="preserve">6 </w:t>
      </w:r>
      <w:r>
        <w:rPr>
          <w:rFonts w:ascii="Times New Roman" w:hAnsi="Times New Roman" w:cs="Times New Roman"/>
          <w:sz w:val="26"/>
          <w:szCs w:val="26"/>
        </w:rPr>
        <w:t xml:space="preserve">г.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</w:rPr>
        <w:t xml:space="preserve">Способ направления ответов: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</w:t>
      </w:r>
      <w:r>
        <w:rPr>
          <w:rFonts w:ascii="Times New Roman" w:hAnsi="Times New Roman" w:cs="Times New Roman"/>
          <w:sz w:val="26"/>
          <w:szCs w:val="26"/>
        </w:rPr>
        <w:t xml:space="preserve">аправление по электронной почте на адрес </w:t>
      </w:r>
      <w:hyperlink r:id="rId12" w:tooltip="mailto:sorochinskaya_il@belregion.ru" w:history="1">
        <w:r>
          <w:rPr>
            <w:rStyle w:val="859"/>
            <w:rFonts w:ascii="Times New Roman" w:hAnsi="Times New Roman" w:cs="Times New Roman"/>
            <w:sz w:val="26"/>
            <w:szCs w:val="26"/>
            <w:lang w:val="en-US"/>
          </w:rPr>
          <w:t xml:space="preserve">sorochinskaya</w:t>
        </w:r>
        <w:r>
          <w:rPr>
            <w:rStyle w:val="859"/>
            <w:rFonts w:ascii="Times New Roman" w:hAnsi="Times New Roman" w:cs="Times New Roman"/>
            <w:sz w:val="26"/>
            <w:szCs w:val="26"/>
          </w:rPr>
          <w:t xml:space="preserve">_</w:t>
        </w:r>
        <w:r>
          <w:rPr>
            <w:rStyle w:val="859"/>
            <w:rFonts w:ascii="Times New Roman" w:hAnsi="Times New Roman" w:cs="Times New Roman"/>
            <w:sz w:val="26"/>
            <w:szCs w:val="26"/>
            <w:lang w:val="en-US"/>
          </w:rPr>
          <w:t xml:space="preserve">il</w:t>
        </w:r>
        <w:r>
          <w:rPr>
            <w:rStyle w:val="859"/>
            <w:rFonts w:ascii="Times New Roman" w:hAnsi="Times New Roman" w:cs="Times New Roman"/>
            <w:sz w:val="26"/>
            <w:szCs w:val="26"/>
          </w:rPr>
          <w:t xml:space="preserve">@</w:t>
        </w:r>
        <w:r>
          <w:rPr>
            <w:rStyle w:val="859"/>
            <w:rFonts w:ascii="Times New Roman" w:hAnsi="Times New Roman" w:cs="Times New Roman"/>
            <w:sz w:val="26"/>
            <w:szCs w:val="26"/>
            <w:lang w:val="en-US"/>
          </w:rPr>
          <w:t xml:space="preserve">belgov</w:t>
        </w:r>
        <w:r>
          <w:rPr>
            <w:rStyle w:val="859"/>
            <w:rFonts w:ascii="Times New Roman" w:hAnsi="Times New Roman" w:cs="Times New Roman"/>
            <w:sz w:val="26"/>
            <w:szCs w:val="26"/>
          </w:rPr>
          <w:t xml:space="preserve">.</w:t>
        </w:r>
        <w:r>
          <w:rPr>
            <w:rStyle w:val="859"/>
            <w:rFonts w:ascii="Times New Roman" w:hAnsi="Times New Roman" w:cs="Times New Roman"/>
            <w:sz w:val="26"/>
            <w:szCs w:val="26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в виде прикрепленного файла, составленного (заполненного) по прилагаемой форме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b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</w:rPr>
        <w:t xml:space="preserve">Контактное лицо по вопросам заполнения формы запроса и его отправки: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hd w:val="clear" w:color="auto" w:fill="e6e6e6"/>
        <w:tabs>
          <w:tab w:val="left" w:pos="5040" w:leader="none"/>
        </w:tabs>
        <w:rPr>
          <w:rFonts w:ascii="Times New Roman" w:hAnsi="Times New Roman" w:cs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</w:rPr>
        <w:t xml:space="preserve">Сорочинская Инна Леонидовна, консультант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отдел</w:t>
      </w:r>
      <w:r>
        <w:rPr>
          <w:rFonts w:ascii="Times New Roman" w:hAnsi="Times New Roman" w:cs="Times New Roman"/>
          <w:sz w:val="26"/>
          <w:szCs w:val="26"/>
        </w:rPr>
        <w:t xml:space="preserve">а</w:t>
      </w:r>
      <w:r>
        <w:rPr>
          <w:rFonts w:ascii="Times New Roman" w:hAnsi="Times New Roman" w:cs="Times New Roman"/>
          <w:sz w:val="26"/>
          <w:szCs w:val="26"/>
        </w:rPr>
        <w:t xml:space="preserve"> развития инноваций и оценки регулирующего воздействия</w:t>
      </w:r>
      <w:r>
        <w:rPr>
          <w:rFonts w:ascii="Times New Roman" w:hAnsi="Times New Roman" w:cs="Times New Roman"/>
          <w:sz w:val="26"/>
          <w:szCs w:val="26"/>
        </w:rPr>
        <w:t xml:space="preserve"> департамента инвестиций и инноваций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министерства экономического развития и промышленности Белгородской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hd w:val="clear" w:color="auto" w:fill="e6e6e6"/>
        <w:tabs>
          <w:tab w:val="left" w:pos="5040" w:leader="none"/>
        </w:tabs>
        <w:rPr>
          <w:rFonts w:ascii="Times New Roman" w:hAnsi="Times New Roman" w:cs="Times New Roman"/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кон</w:t>
      </w:r>
      <w:r>
        <w:rPr>
          <w:rFonts w:ascii="Times New Roman" w:hAnsi="Times New Roman" w:cs="Times New Roman"/>
          <w:sz w:val="26"/>
          <w:szCs w:val="26"/>
        </w:rPr>
        <w:t xml:space="preserve">тактный телефон: (4722) 27</w:t>
      </w:r>
      <w:r>
        <w:rPr>
          <w:rFonts w:ascii="Times New Roman" w:hAnsi="Times New Roman" w:cs="Times New Roman"/>
          <w:sz w:val="26"/>
          <w:szCs w:val="26"/>
        </w:rPr>
        <w:t xml:space="preserve">-8</w:t>
      </w:r>
      <w:r>
        <w:rPr>
          <w:rFonts w:ascii="Times New Roman" w:hAnsi="Times New Roman" w:cs="Times New Roman"/>
          <w:sz w:val="26"/>
          <w:szCs w:val="26"/>
        </w:rPr>
        <w:t xml:space="preserve">6-88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b/>
          <w:bCs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</w:rPr>
        <w:t xml:space="preserve">Прилагаемые к запросу документы: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jc w:val="both"/>
        <w:shd w:val="clear" w:color="auto" w:fill="e6e6e6"/>
        <w:rPr>
          <w:rFonts w:ascii="Times New Roman" w:hAnsi="Times New Roman" w:cs="Times New Roman"/>
          <w:b/>
          <w:bCs/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  <w:sectPr>
          <w:headerReference w:type="default" r:id="rId9"/>
          <w:footnotePr/>
          <w:endnotePr/>
          <w:type w:val="nextPage"/>
          <w:pgSz w:w="11906" w:h="16838" w:orient="portrait"/>
          <w:pgMar w:top="142" w:right="850" w:bottom="709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1)</w:t>
      </w:r>
      <w:r>
        <w:rPr>
          <w:rFonts w:ascii="Times New Roman" w:hAnsi="Times New Roman" w:eastAsia="TimesNewRoman" w:cs="Times New Roman"/>
          <w:sz w:val="26"/>
          <w:szCs w:val="26"/>
        </w:rPr>
        <w:t xml:space="preserve"> 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  <w:highlight w:val="none"/>
        </w:rPr>
        <w:t xml:space="preserve">постановлен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  <w:highlight w:val="none"/>
        </w:rPr>
        <w:t xml:space="preserve">ие Правительства Белгородской области от 15 августа 2016 года </w:t>
        <w:br/>
        <w:t xml:space="preserve">№ 306-пп </w:t>
      </w:r>
      <w:r>
        <w:rPr>
          <w:rFonts w:ascii="Times New Roman" w:hAnsi="Times New Roman" w:eastAsia="TimesNewRoman" w:cs="Times New Roman"/>
          <w:color w:val="000000"/>
          <w:sz w:val="26"/>
          <w:szCs w:val="26"/>
        </w:rPr>
        <w:t xml:space="preserve">«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  <w:highlight w:val="none"/>
        </w:rPr>
        <w:t xml:space="preserve">Об утверждении Порядка разработки и утверждения нормативов образования отходов и лимитов на их размещение применительно </w:t>
        <w:br/>
        <w:t xml:space="preserve">к хозяйственной и (или) иной деятельности юри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  <w:highlight w:val="none"/>
        </w:rPr>
        <w:t xml:space="preserve">дических лиц и индивидуальных предпринимателей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надзору</w:t>
      </w:r>
      <w:r>
        <w:rPr>
          <w:rFonts w:ascii="Times New Roman" w:hAnsi="Times New Roman" w:eastAsia="TimesNewRoman" w:cs="Times New Roman"/>
          <w:sz w:val="26"/>
          <w:szCs w:val="26"/>
        </w:rPr>
        <w:t xml:space="preserve">».</w:t>
      </w:r>
      <w:r>
        <w:rPr>
          <w:rFonts w:ascii="Times New Roman" w:hAnsi="Times New Roman" w:cs="Times New Roman"/>
          <w:sz w:val="26"/>
          <w:szCs w:val="26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2)</w:t>
      </w:r>
      <w:r>
        <w:rPr>
          <w:rFonts w:ascii="Times New Roman" w:hAnsi="Times New Roman" w:cs="Times New Roman"/>
          <w:sz w:val="26"/>
          <w:szCs w:val="26"/>
        </w:rPr>
        <w:t xml:space="preserve"> р</w:t>
      </w:r>
      <w:r>
        <w:rPr>
          <w:rFonts w:ascii="Times New Roman" w:hAnsi="Times New Roman" w:cs="Times New Roman"/>
          <w:sz w:val="26"/>
          <w:szCs w:val="26"/>
        </w:rPr>
        <w:t xml:space="preserve">асчет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издержек.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tbl>
      <w:tblPr>
        <w:tblW w:w="963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>
        <w:trPr>
          <w:trHeight w:val="1239"/>
        </w:trPr>
        <w:tc>
          <w:tcPr>
            <w:shd w:val="clear" w:color="auto" w:fill="auto"/>
            <w:tcBorders>
              <w:bottom w:val="single" w:color="auto" w:sz="4" w:space="0"/>
            </w:tcBorders>
            <w:tcW w:w="9638" w:type="dxa"/>
            <w:textDirection w:val="lrTb"/>
            <w:noWrap w:val="false"/>
          </w:tcPr>
          <w:p>
            <w:pPr>
              <w:ind w:firstLine="540"/>
              <w:jc w:val="center"/>
              <w:rPr>
                <w:b/>
                <w:sz w:val="28"/>
                <w:szCs w:val="28"/>
              </w:rPr>
              <w:pBdr>
                <w:bottom w:val="single" w:color="auto" w:sz="12" w:space="1"/>
              </w:pBdr>
            </w:pPr>
            <w:r>
              <w:rPr>
                <w:b/>
                <w:sz w:val="28"/>
                <w:szCs w:val="28"/>
              </w:rPr>
              <w:t xml:space="preserve">ПЕРЕЧЕНЬ ВОПРОСОВ</w:t>
            </w:r>
            <w:r/>
          </w:p>
          <w:p>
            <w:pPr>
              <w:ind w:firstLine="540"/>
              <w:jc w:val="center"/>
              <w:rPr>
                <w:b/>
                <w:sz w:val="28"/>
                <w:szCs w:val="28"/>
              </w:rPr>
              <w:pBdr>
                <w:bottom w:val="single" w:color="auto" w:sz="12" w:space="1"/>
              </w:pBdr>
            </w:pPr>
            <w:r>
              <w:rPr>
                <w:b/>
                <w:sz w:val="28"/>
                <w:szCs w:val="28"/>
              </w:rPr>
              <w:t xml:space="preserve">В РАМКАХ ПРОВЕДЕНИЯ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ПУБЛИЧНЫХ КОНСУЛЬТАЦИЙ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eastAsia="Segoe UI" w:cs="Times New Roman"/>
                <w:color w:val="000000"/>
                <w:spacing w:val="-4"/>
                <w:sz w:val="26"/>
                <w:szCs w:val="26"/>
                <w:highlight w:val="none"/>
              </w:rPr>
              <w:t xml:space="preserve">Постановлен</w:t>
            </w:r>
            <w:r>
              <w:rPr>
                <w:rFonts w:ascii="Times New Roman" w:hAnsi="Times New Roman" w:eastAsia="Segoe UI" w:cs="Times New Roman"/>
                <w:color w:val="000000"/>
                <w:spacing w:val="-4"/>
                <w:sz w:val="26"/>
                <w:szCs w:val="26"/>
                <w:highlight w:val="none"/>
              </w:rPr>
              <w:t xml:space="preserve">ие Правительства Белгородской области от 15 августа 2016 года </w:t>
              <w:br/>
              <w:t xml:space="preserve">№ 306-пп </w:t>
            </w:r>
            <w:r>
              <w:rPr>
                <w:rFonts w:ascii="Times New Roman" w:hAnsi="Times New Roman" w:eastAsia="TimesNewRoman" w:cs="Times New Roman"/>
                <w:color w:val="000000"/>
                <w:sz w:val="26"/>
                <w:szCs w:val="26"/>
              </w:rPr>
              <w:t xml:space="preserve">«</w:t>
            </w:r>
            <w:r>
              <w:rPr>
                <w:rFonts w:ascii="Times New Roman" w:hAnsi="Times New Roman" w:eastAsia="Segoe UI" w:cs="Times New Roman"/>
                <w:color w:val="000000"/>
                <w:spacing w:val="-4"/>
                <w:sz w:val="26"/>
                <w:szCs w:val="26"/>
                <w:highlight w:val="none"/>
              </w:rPr>
              <w:t xml:space="preserve">Об утверждении Порядка разработки и утверждения нормативов образования отходов и лимитов на их размещение применительно </w:t>
              <w:br/>
              <w:t xml:space="preserve">к хозяйственной и (или) иной деятельности юри</w:t>
            </w:r>
            <w:r>
              <w:rPr>
                <w:rFonts w:ascii="Times New Roman" w:hAnsi="Times New Roman" w:eastAsia="Segoe UI" w:cs="Times New Roman"/>
                <w:color w:val="000000"/>
                <w:spacing w:val="-4"/>
                <w:sz w:val="26"/>
                <w:szCs w:val="26"/>
                <w:highlight w:val="none"/>
              </w:rPr>
              <w:t xml:space="preserve">дических лиц и индивидуальных предпринимателей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надзору</w:t>
            </w:r>
            <w:r>
              <w:rPr>
                <w:rFonts w:ascii="Times New Roman" w:hAnsi="Times New Roman" w:eastAsia="TimesNewRoman" w:cs="Times New Roman"/>
                <w:sz w:val="26"/>
                <w:szCs w:val="26"/>
              </w:rPr>
              <w:t xml:space="preserve">».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Пожалуйста, заполните и направьте данную форму по электронной почте на адрес </w:t>
            </w:r>
            <w:hyperlink r:id="rId13" w:tooltip="mailto:sorochinskaya_il@belregion.ru" w:history="1">
              <w:r>
                <w:rPr>
                  <w:rStyle w:val="859"/>
                  <w:rFonts w:ascii="Times New Roman" w:hAnsi="Times New Roman" w:cs="Times New Roman"/>
                  <w:sz w:val="26"/>
                  <w:szCs w:val="26"/>
                </w:rPr>
                <w:t xml:space="preserve">sorochinskaya_il@belgov.ru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позднее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8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мая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6 года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Разработчик не будет иметь возможности проанализировать позиции, направленные ему после указанного срока.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Контактная информация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Название организации___________________________________________________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Сферу деятельности организации__________________________________________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Ф.И.О. контактного лица и номер телефона_________________________________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электронной почты________________________________________________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867"/>
        <w:numPr>
          <w:ilvl w:val="0"/>
          <w:numId w:val="2"/>
        </w:numPr>
        <w:ind w:left="284" w:right="-1" w:hanging="284"/>
        <w:jc w:val="both"/>
        <w:tabs>
          <w:tab w:val="num" w:pos="284" w:leader="none"/>
          <w:tab w:val="clear" w:pos="720" w:leader="none"/>
        </w:tabs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На решение какой проблемы, на ваш взгляд, направлено </w:t>
      </w:r>
      <w:r>
        <w:rPr>
          <w:i/>
          <w:sz w:val="26"/>
          <w:szCs w:val="26"/>
        </w:rPr>
        <w:t xml:space="preserve">данны</w:t>
      </w:r>
      <w:r>
        <w:rPr>
          <w:i/>
          <w:sz w:val="26"/>
          <w:szCs w:val="26"/>
        </w:rPr>
        <w:t xml:space="preserve">е</w:t>
      </w:r>
      <w:r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  <w:r>
        <w:rPr>
          <w:sz w:val="26"/>
          <w:szCs w:val="26"/>
        </w:rPr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2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firstLine="709"/>
              <w:jc w:val="left"/>
              <w:tabs>
                <w:tab w:val="num" w:pos="284" w:leader="none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/>
          </w:p>
        </w:tc>
      </w:tr>
    </w:tbl>
    <w:p>
      <w:pPr>
        <w:pStyle w:val="867"/>
        <w:numPr>
          <w:ilvl w:val="0"/>
          <w:numId w:val="2"/>
        </w:numPr>
        <w:ind w:left="284" w:right="-1" w:hanging="284"/>
        <w:jc w:val="both"/>
        <w:tabs>
          <w:tab w:val="num" w:pos="284" w:leader="none"/>
          <w:tab w:val="clear" w:pos="720" w:leader="none"/>
        </w:tabs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Какие, по Вашей оценке, субъекты предпринимательской и (или) инвестиционной деятельности затронуты государственным регулированием (по видам субъектов, по отраслям, по количеству таких субъектов в Вашем районе или городе и прочее)?</w:t>
      </w:r>
      <w:r>
        <w:rPr>
          <w:sz w:val="26"/>
          <w:szCs w:val="26"/>
        </w:rPr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27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</w:tc>
      </w:tr>
    </w:tbl>
    <w:p>
      <w:pPr>
        <w:pStyle w:val="867"/>
        <w:numPr>
          <w:ilvl w:val="0"/>
          <w:numId w:val="2"/>
        </w:numPr>
        <w:ind w:left="284" w:right="-1" w:hanging="284"/>
        <w:jc w:val="both"/>
        <w:tabs>
          <w:tab w:val="num" w:pos="284" w:leader="none"/>
          <w:tab w:val="clear" w:pos="720" w:leader="none"/>
        </w:tabs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акты.</w:t>
      </w:r>
      <w:r>
        <w:rPr>
          <w:sz w:val="26"/>
          <w:szCs w:val="26"/>
        </w:rPr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29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</w:tc>
      </w:tr>
    </w:tbl>
    <w:p>
      <w:pPr>
        <w:pStyle w:val="867"/>
        <w:numPr>
          <w:ilvl w:val="0"/>
          <w:numId w:val="2"/>
        </w:numPr>
        <w:ind w:left="284" w:right="-1" w:hanging="284"/>
        <w:jc w:val="both"/>
        <w:tabs>
          <w:tab w:val="num" w:pos="284" w:leader="none"/>
          <w:tab w:val="clear" w:pos="720" w:leader="none"/>
        </w:tabs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>
        <w:rPr>
          <w:i/>
          <w:sz w:val="26"/>
          <w:szCs w:val="26"/>
        </w:rPr>
        <w:t xml:space="preserve">проекте нормативного правового акта</w:t>
      </w:r>
      <w:r>
        <w:rPr>
          <w:i/>
          <w:sz w:val="26"/>
          <w:szCs w:val="26"/>
        </w:rPr>
        <w:t xml:space="preserve"> положения, </w:t>
      </w:r>
      <w:r>
        <w:rPr>
          <w:i/>
          <w:sz w:val="26"/>
          <w:szCs w:val="26"/>
        </w:rPr>
        <w:t xml:space="preserve">способствующие недопущению, ограничению, устранению конкуренции</w:t>
      </w:r>
      <w:r>
        <w:rPr>
          <w:i/>
          <w:sz w:val="26"/>
          <w:szCs w:val="26"/>
        </w:rPr>
        <w:t xml:space="preserve">?</w:t>
      </w:r>
      <w:r>
        <w:rPr>
          <w:i/>
          <w:sz w:val="26"/>
          <w:szCs w:val="26"/>
        </w:rPr>
        <w:t xml:space="preserve"> Какие негативные последствия они могут вызвать?</w:t>
      </w:r>
      <w:r>
        <w:rPr>
          <w:sz w:val="26"/>
          <w:szCs w:val="26"/>
        </w:rPr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</w:tc>
      </w:tr>
    </w:tbl>
    <w:p>
      <w:pPr>
        <w:ind w:right="-1"/>
        <w:jc w:val="both"/>
        <w:tabs>
          <w:tab w:val="num" w:pos="284" w:leader="none"/>
        </w:tabs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5.</w:t>
      </w:r>
      <w:r>
        <w:rPr>
          <w:i/>
          <w:sz w:val="26"/>
          <w:szCs w:val="26"/>
        </w:rPr>
        <w:tab/>
        <w:t xml:space="preserve">Существуют ли в данном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  <w:r>
        <w:rPr>
          <w:sz w:val="26"/>
          <w:szCs w:val="26"/>
        </w:rPr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</w:tc>
      </w:tr>
    </w:tbl>
    <w:p>
      <w:pPr>
        <w:ind w:right="-1"/>
        <w:jc w:val="both"/>
        <w:tabs>
          <w:tab w:val="num" w:pos="284" w:leader="none"/>
        </w:tabs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6. </w:t>
      </w:r>
      <w:r>
        <w:rPr>
          <w:i/>
          <w:sz w:val="26"/>
          <w:szCs w:val="26"/>
        </w:rPr>
        <w:t xml:space="preserve">Какие, на ваш взгляд, возникают проблемы и трудности с контролем соблюдения требований и норм, введенных нормативным правовым актом?</w:t>
      </w:r>
      <w:r>
        <w:rPr>
          <w:sz w:val="26"/>
          <w:szCs w:val="26"/>
        </w:rPr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</w:tc>
      </w:tr>
    </w:tbl>
    <w:p>
      <w:pPr>
        <w:ind w:right="-1"/>
        <w:jc w:val="both"/>
        <w:rPr>
          <w:i/>
          <w:sz w:val="26"/>
          <w:szCs w:val="26"/>
        </w:rPr>
      </w:pPr>
      <w:r>
        <w:rPr>
          <w:i/>
          <w:iCs/>
          <w:sz w:val="26"/>
          <w:szCs w:val="26"/>
        </w:rPr>
        <w:t xml:space="preserve">7. </w:t>
      </w:r>
      <w:r>
        <w:rPr>
          <w:i/>
          <w:iCs/>
          <w:sz w:val="26"/>
          <w:szCs w:val="26"/>
        </w:rPr>
        <w:t xml:space="preserve">Существуют ли альтернативные (менее затратные и (или) более эффективные) способы решения проблемы?</w:t>
      </w:r>
      <w:r>
        <w:rPr>
          <w:sz w:val="26"/>
          <w:szCs w:val="26"/>
        </w:rPr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</w:tc>
      </w:tr>
    </w:tbl>
    <w:p>
      <w:pPr>
        <w:ind w:right="-1"/>
        <w:jc w:val="both"/>
        <w:tabs>
          <w:tab w:val="num" w:pos="284" w:leader="none"/>
        </w:tabs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8. </w:t>
      </w:r>
      <w:r>
        <w:rPr>
          <w:i/>
          <w:sz w:val="26"/>
          <w:szCs w:val="26"/>
        </w:rPr>
        <w:t xml:space="preserve">Какие </w:t>
      </w:r>
      <w:r>
        <w:rPr>
          <w:i/>
          <w:sz w:val="26"/>
          <w:szCs w:val="26"/>
        </w:rPr>
        <w:t xml:space="preserve">существуют </w:t>
      </w:r>
      <w:r>
        <w:rPr>
          <w:i/>
          <w:sz w:val="26"/>
          <w:szCs w:val="26"/>
        </w:rPr>
        <w:t xml:space="preserve">риски и негативные последствия в </w:t>
      </w:r>
      <w:r>
        <w:rPr>
          <w:i/>
          <w:sz w:val="26"/>
          <w:szCs w:val="26"/>
        </w:rPr>
        <w:t xml:space="preserve">результате </w:t>
      </w:r>
      <w:r>
        <w:rPr>
          <w:i/>
          <w:sz w:val="26"/>
          <w:szCs w:val="26"/>
        </w:rPr>
        <w:t xml:space="preserve">данного</w:t>
      </w:r>
      <w:r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правового регулирования?</w:t>
      </w:r>
      <w:r>
        <w:rPr>
          <w:sz w:val="26"/>
          <w:szCs w:val="26"/>
        </w:rPr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0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</w:tc>
      </w:tr>
    </w:tbl>
    <w:p>
      <w:pPr>
        <w:ind w:right="-1"/>
        <w:jc w:val="both"/>
        <w:rPr>
          <w:bCs/>
          <w:i/>
          <w:sz w:val="26"/>
          <w:szCs w:val="26"/>
        </w:rPr>
      </w:pPr>
      <w:r>
        <w:rPr>
          <w:i/>
          <w:sz w:val="26"/>
          <w:szCs w:val="26"/>
          <w:highlight w:val="none"/>
        </w:rPr>
      </w:r>
      <w:r>
        <w:rPr>
          <w:i/>
          <w:sz w:val="26"/>
          <w:szCs w:val="26"/>
          <w:highlight w:val="none"/>
        </w:rPr>
      </w:r>
      <w:r/>
    </w:p>
    <w:p>
      <w:pPr>
        <w:ind w:right="-1"/>
        <w:jc w:val="both"/>
        <w:rPr>
          <w:bCs/>
          <w:i/>
          <w:sz w:val="26"/>
          <w:szCs w:val="26"/>
          <w:highlight w:val="none"/>
        </w:rPr>
      </w:pPr>
      <w:r>
        <w:rPr>
          <w:i/>
          <w:sz w:val="26"/>
          <w:szCs w:val="26"/>
        </w:rPr>
        <w:t xml:space="preserve">9. </w:t>
      </w:r>
      <w:r>
        <w:rPr>
          <w:i/>
          <w:sz w:val="26"/>
          <w:szCs w:val="26"/>
        </w:rPr>
        <w:t xml:space="preserve">Какие </w:t>
      </w:r>
      <w:r>
        <w:rPr>
          <w:i/>
          <w:sz w:val="26"/>
          <w:szCs w:val="26"/>
        </w:rPr>
        <w:t xml:space="preserve">существуют </w:t>
      </w:r>
      <w:r>
        <w:rPr>
          <w:i/>
          <w:sz w:val="26"/>
          <w:szCs w:val="26"/>
        </w:rPr>
        <w:t xml:space="preserve">выгоды и преимущества </w:t>
      </w:r>
      <w:r>
        <w:rPr>
          <w:i/>
          <w:sz w:val="26"/>
          <w:szCs w:val="26"/>
        </w:rPr>
        <w:t xml:space="preserve">в результате </w:t>
      </w:r>
      <w:r>
        <w:rPr>
          <w:i/>
          <w:sz w:val="26"/>
          <w:szCs w:val="26"/>
        </w:rPr>
        <w:t xml:space="preserve">данного</w:t>
      </w:r>
      <w:r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правового регулирования?</w:t>
      </w:r>
      <w:r>
        <w:rPr>
          <w:sz w:val="26"/>
          <w:szCs w:val="26"/>
        </w:rPr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278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</w:tc>
      </w:tr>
    </w:tbl>
    <w:p>
      <w:pPr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10. </w:t>
      </w:r>
      <w:r>
        <w:rPr>
          <w:i/>
          <w:sz w:val="26"/>
          <w:szCs w:val="26"/>
        </w:rPr>
        <w:t xml:space="preserve">Ваши предложения по внесению изменений в </w:t>
      </w:r>
      <w:r>
        <w:rPr>
          <w:i/>
          <w:sz w:val="26"/>
          <w:szCs w:val="26"/>
        </w:rPr>
        <w:t xml:space="preserve">данное </w:t>
      </w:r>
      <w:r>
        <w:rPr>
          <w:i/>
          <w:sz w:val="26"/>
          <w:szCs w:val="26"/>
        </w:rPr>
        <w:t xml:space="preserve">постановление</w:t>
      </w:r>
      <w:r>
        <w:rPr>
          <w:i/>
          <w:sz w:val="26"/>
          <w:szCs w:val="26"/>
        </w:rPr>
        <w:t xml:space="preserve">, если в них есть необходимость.</w:t>
      </w:r>
      <w:r>
        <w:rPr>
          <w:sz w:val="26"/>
          <w:szCs w:val="26"/>
        </w:rPr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25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</w:tc>
      </w:tr>
    </w:tbl>
    <w:p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</w:r>
      <w:r>
        <w:rPr>
          <w:sz w:val="26"/>
          <w:szCs w:val="26"/>
        </w:rPr>
      </w:r>
      <w:r/>
    </w:p>
    <w:sectPr>
      <w:headerReference w:type="default" r:id="rId10"/>
      <w:footnotePr/>
      <w:endnotePr/>
      <w:type w:val="nextPage"/>
      <w:pgSz w:w="11906" w:h="16838" w:orient="portrait"/>
      <w:pgMar w:top="568" w:right="851" w:bottom="142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Segoe UI">
    <w:panose1 w:val="020B050204050402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2038732"/>
      <w:rPr/>
    </w:sdtPr>
    <w:sdtContent>
      <w:p>
        <w:pPr>
          <w:pStyle w:val="86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2038732"/>
      <w:rPr/>
    </w:sdtPr>
    <w:sdtContent>
      <w:p>
        <w:pPr>
          <w:pStyle w:val="86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5"/>
    <w:next w:val="855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basedOn w:val="856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5"/>
    <w:next w:val="855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basedOn w:val="856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5"/>
    <w:next w:val="855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basedOn w:val="856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5"/>
    <w:next w:val="855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6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5"/>
    <w:next w:val="855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6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5"/>
    <w:next w:val="855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6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5"/>
    <w:next w:val="855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6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5"/>
    <w:next w:val="855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6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5"/>
    <w:next w:val="855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6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5"/>
    <w:next w:val="855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basedOn w:val="856"/>
    <w:link w:val="701"/>
    <w:uiPriority w:val="10"/>
    <w:rPr>
      <w:sz w:val="48"/>
      <w:szCs w:val="48"/>
    </w:rPr>
  </w:style>
  <w:style w:type="paragraph" w:styleId="703">
    <w:name w:val="Subtitle"/>
    <w:basedOn w:val="855"/>
    <w:next w:val="855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56"/>
    <w:link w:val="703"/>
    <w:uiPriority w:val="11"/>
    <w:rPr>
      <w:sz w:val="24"/>
      <w:szCs w:val="24"/>
    </w:rPr>
  </w:style>
  <w:style w:type="paragraph" w:styleId="705">
    <w:name w:val="Quote"/>
    <w:basedOn w:val="855"/>
    <w:next w:val="855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5"/>
    <w:next w:val="855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56"/>
    <w:link w:val="863"/>
    <w:uiPriority w:val="99"/>
  </w:style>
  <w:style w:type="character" w:styleId="710">
    <w:name w:val="Footer Char"/>
    <w:basedOn w:val="856"/>
    <w:link w:val="865"/>
    <w:uiPriority w:val="99"/>
  </w:style>
  <w:style w:type="paragraph" w:styleId="711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865"/>
    <w:uiPriority w:val="99"/>
  </w:style>
  <w:style w:type="table" w:styleId="713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6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6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qFormat/>
    <w:rPr>
      <w:sz w:val="24"/>
      <w:szCs w:val="24"/>
    </w:rPr>
  </w:style>
  <w:style w:type="character" w:styleId="856" w:default="1">
    <w:name w:val="Default Paragraph Font"/>
    <w:uiPriority w:val="1"/>
    <w:semiHidden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character" w:styleId="859">
    <w:name w:val="Hyperlink"/>
    <w:rPr>
      <w:color w:val="0000ff"/>
      <w:u w:val="single"/>
    </w:rPr>
  </w:style>
  <w:style w:type="paragraph" w:styleId="860">
    <w:name w:val="Balloon Text"/>
    <w:basedOn w:val="855"/>
    <w:semiHidden/>
    <w:rPr>
      <w:rFonts w:ascii="Tahoma" w:hAnsi="Tahoma" w:cs="Tahoma"/>
      <w:sz w:val="16"/>
      <w:szCs w:val="16"/>
    </w:rPr>
  </w:style>
  <w:style w:type="character" w:styleId="861">
    <w:name w:val="Emphasis"/>
    <w:qFormat/>
    <w:rPr>
      <w:i/>
      <w:iCs/>
    </w:rPr>
  </w:style>
  <w:style w:type="table" w:styleId="862">
    <w:name w:val="Table Grid"/>
    <w:basedOn w:val="85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3">
    <w:name w:val="Header"/>
    <w:basedOn w:val="855"/>
    <w:link w:val="86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4" w:customStyle="1">
    <w:name w:val="Верхний колонтитул Знак"/>
    <w:basedOn w:val="856"/>
    <w:link w:val="863"/>
    <w:uiPriority w:val="99"/>
    <w:rPr>
      <w:sz w:val="24"/>
      <w:szCs w:val="24"/>
    </w:rPr>
  </w:style>
  <w:style w:type="paragraph" w:styleId="865">
    <w:name w:val="Footer"/>
    <w:basedOn w:val="855"/>
    <w:link w:val="866"/>
    <w:unhideWhenUsed/>
    <w:pPr>
      <w:tabs>
        <w:tab w:val="center" w:pos="4677" w:leader="none"/>
        <w:tab w:val="right" w:pos="9355" w:leader="none"/>
      </w:tabs>
    </w:pPr>
  </w:style>
  <w:style w:type="character" w:styleId="866" w:customStyle="1">
    <w:name w:val="Нижний колонтитул Знак"/>
    <w:basedOn w:val="856"/>
    <w:link w:val="865"/>
    <w:rPr>
      <w:sz w:val="24"/>
      <w:szCs w:val="24"/>
    </w:rPr>
  </w:style>
  <w:style w:type="paragraph" w:styleId="867">
    <w:name w:val="List Paragraph"/>
    <w:basedOn w:val="855"/>
    <w:uiPriority w:val="34"/>
    <w:qFormat/>
    <w:pPr>
      <w:contextualSpacing/>
      <w:ind w:left="720"/>
    </w:pPr>
  </w:style>
  <w:style w:type="character" w:styleId="868" w:customStyle="1">
    <w:name w:val="Unresolved Mention"/>
    <w:basedOn w:val="856"/>
    <w:uiPriority w:val="99"/>
    <w:semiHidden/>
    <w:unhideWhenUsed/>
    <w:rPr>
      <w:color w:val="605e5c"/>
      <w:shd w:val="clear" w:color="auto" w:fill="e1dfdd"/>
    </w:rPr>
  </w:style>
  <w:style w:type="paragraph" w:styleId="869" w:customStyle="1">
    <w:name w:val="ConsPlusTitlePag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ahoma" w:hAnsi="Tahoma" w:eastAsia="Tahoma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zh-C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mailto:sorochinskaya_il@belregion.ru" TargetMode="External"/><Relationship Id="rId13" Type="http://schemas.openxmlformats.org/officeDocument/2006/relationships/hyperlink" Target="mailto:sorochinskaya_il@belregio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D6E69-06BE-4A38-A42D-D18CF410C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revision>16</cp:revision>
  <dcterms:created xsi:type="dcterms:W3CDTF">2023-06-07T11:17:00Z</dcterms:created>
  <dcterms:modified xsi:type="dcterms:W3CDTF">2026-04-10T11:12:20Z</dcterms:modified>
</cp:coreProperties>
</file>