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8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1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1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1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u w:val="none"/>
          <w:lang w:eastAsia="ru-RU"/>
        </w:rPr>
        <w:t xml:space="preserve">1. Общая информация:</w:t>
      </w:r>
      <w:r>
        <w:rPr>
          <w:b/>
          <w:bCs/>
          <w:u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u w:val="none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hAnsi="Times New Roman" w:eastAsia="Calibri" w:cs="Times New Roman"/>
          <w:sz w:val="26"/>
          <w:szCs w:val="26"/>
          <w:u w:val="none"/>
          <w:lang w:eastAsia="ru-RU"/>
        </w:rPr>
        <w:t xml:space="preserve">Белгородская областная Дума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u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u w:val="none"/>
          <w:lang w:eastAsia="ru-RU"/>
        </w:rPr>
        <w:t xml:space="preserve">1.2. Вид и наименование проекта нормативного правового акта: </w:t>
      </w:r>
      <w:r>
        <w:rPr>
          <w:b/>
          <w:bCs/>
          <w:u w:val="none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none"/>
        </w:rPr>
      </w:pPr>
      <w:r>
        <w:rPr>
          <w:rFonts w:ascii="Times New Roman" w:hAnsi="Times New Roman" w:eastAsia="Calibri" w:cs="Times New Roman"/>
          <w:sz w:val="26"/>
          <w:szCs w:val="26"/>
          <w:u w:val="none"/>
          <w:lang w:eastAsia="ru-RU"/>
        </w:rPr>
        <w:t xml:space="preserve">проект закона Белгородской области «Об установлении ограничения розничной продажи моторного топлива несовершеннолетним на территории Белгородской области»</w:t>
      </w:r>
      <w:r>
        <w:rPr>
          <w:u w:val="none"/>
        </w:rPr>
        <w:t xml:space="preserve">.</w:t>
      </w:r>
      <w:r>
        <w:rPr>
          <w:u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u w:val="none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u w:val="none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u w:val="none"/>
        </w:rPr>
        <w:t xml:space="preserve">акта: </w:t>
      </w:r>
      <w:r>
        <w:rPr>
          <w:u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начало: 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«17» апреля 2026 г.;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 </w:t>
      </w:r>
      <w:r>
        <w:rPr>
          <w:u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окончание 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«18» мая 2026 г.</w:t>
      </w:r>
      <w:r>
        <w:rPr>
          <w:u w:val="none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2606" w:leader="none"/>
        </w:tabs>
        <w:rPr>
          <w:rFonts w:ascii="Times New Roman" w:hAnsi="Times New Roman" w:eastAsia="Times New Roman" w:cs="Times New Roman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u w:val="none"/>
        </w:rPr>
        <w:t xml:space="preserve">1.4. Степень регулирующего воздействия проекта нормативного правового акта: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высокая. Проектом закона устанавливается ограничение розничной продажи моторного топлива несовершеннолетним, ранее не предусмотренное на территории Белгородской области.</w:t>
      </w:r>
      <w:r>
        <w:rPr>
          <w:u w:val="none"/>
        </w:rPr>
        <w:tab/>
      </w:r>
      <w:r>
        <w:rPr>
          <w:u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u w:val="none"/>
        </w:rPr>
        <w:t xml:space="preserve">1.5. Контактная информация об исполнителе в органе-разработчике:</w:t>
      </w:r>
      <w:r>
        <w:rPr>
          <w:b/>
          <w:bCs/>
          <w:u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Ф.И.О.: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Шипилов Илья Алексеевич</w:t>
      </w:r>
      <w:r>
        <w:rPr>
          <w:u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Должность: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консультант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отдела законотворческой деятельности и правового мониторинга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правового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управления аппарата Белгородской областной Думы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.</w:t>
      </w:r>
      <w:r>
        <w:rPr>
          <w:sz w:val="26"/>
          <w:szCs w:val="26"/>
          <w:u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Тел.: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 +7 (4722) 32-17-08 </w:t>
      </w:r>
      <w:r>
        <w:rPr>
          <w:u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u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u w:val="none"/>
        </w:rPr>
        <w:t xml:space="preserve">2. Описание проблемы, на решение которой направлено вводимое правовое регулирование:</w:t>
      </w:r>
      <w:r>
        <w:rPr>
          <w:b/>
          <w:bCs/>
          <w:u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u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u w:val="none"/>
        </w:rPr>
        <w:t xml:space="preserve">2.1. Проблема, на решение которой направлен предлагаемый способ правового регулирования:</w:t>
      </w:r>
      <w:r>
        <w:rPr>
          <w:b/>
          <w:bCs/>
          <w:u w:val="none"/>
        </w:rPr>
      </w:r>
      <w:r/>
    </w:p>
    <w:p>
      <w:pPr>
        <w:ind w:firstLine="709"/>
        <w:jc w:val="both"/>
        <w:spacing w:after="0" w:line="240" w:lineRule="auto"/>
        <w:rPr>
          <w:sz w:val="26"/>
          <w:szCs w:val="26"/>
          <w:u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о информации УМВД России по Белгородской области, в 2023 году выявлено 534 административных правонарушения по факту управления транспортными средствами несовершеннолетними водителями, не имеющими соответствующего права управления (из них за управление мото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техникой 154), в 2024 году – 781 правонарушение (из них за управление мототехникой 290), в 2025 году – 792 правонарушения (из них за управление мототехникой 274).</w:t>
      </w:r>
      <w:r>
        <w:rPr>
          <w:sz w:val="26"/>
          <w:szCs w:val="26"/>
          <w:u w:val="none"/>
        </w:rPr>
      </w:r>
      <w:r/>
    </w:p>
    <w:p>
      <w:pPr>
        <w:ind w:firstLine="709"/>
        <w:jc w:val="both"/>
        <w:spacing w:after="0" w:line="240" w:lineRule="auto"/>
        <w:rPr>
          <w:sz w:val="26"/>
          <w:szCs w:val="26"/>
          <w:u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Особую обеспокоенность вызывает использование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несовершеннолетни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ми транспортных средств, не предназначенных для эксплуатации на автомобильных дорогах общего пользования (спортивный инвентарь, включая питбайки и квадроциклы), которые нередко эксплуатируются без надлежащего контроля со стороны родителей.</w:t>
      </w:r>
      <w:r>
        <w:rPr>
          <w:sz w:val="26"/>
          <w:szCs w:val="26"/>
          <w:u w:val="none"/>
        </w:rPr>
      </w:r>
      <w:r/>
    </w:p>
    <w:p>
      <w:pPr>
        <w:ind w:firstLine="709"/>
        <w:jc w:val="both"/>
        <w:spacing w:after="0" w:line="240" w:lineRule="auto"/>
        <w:tabs>
          <w:tab w:val="left" w:pos="3540" w:leader="none"/>
        </w:tabs>
        <w:rPr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 xml:space="preserve">Приобретение подобной техники, как пра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вило осуществляется родителями несовершеннолетних либо происходит при их согласии, а дальнейшее использование остается без должного контроля со стороны взрослых.</w:t>
      </w:r>
      <w:r>
        <w:rPr>
          <w:sz w:val="26"/>
          <w:szCs w:val="26"/>
          <w:u w:val="none"/>
        </w:rPr>
      </w:r>
      <w:r/>
    </w:p>
    <w:p>
      <w:pPr>
        <w:ind w:firstLine="709"/>
        <w:jc w:val="both"/>
        <w:spacing w:after="0" w:line="240" w:lineRule="auto"/>
        <w:tabs>
          <w:tab w:val="left" w:pos="3540" w:leader="none"/>
        </w:tabs>
        <w:rPr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 xml:space="preserve">Подобное положение вещей на практике приводит к неблагоприятным последствиям, а в худшем случае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–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заканчивается для семей трагедией.</w:t>
      </w:r>
      <w:r>
        <w:rPr>
          <w:sz w:val="26"/>
          <w:szCs w:val="26"/>
          <w:u w:val="none"/>
        </w:rPr>
      </w:r>
      <w:r/>
    </w:p>
    <w:p>
      <w:pPr>
        <w:ind w:firstLine="709"/>
        <w:jc w:val="both"/>
        <w:spacing w:after="0" w:line="240" w:lineRule="auto"/>
        <w:tabs>
          <w:tab w:val="left" w:pos="3540" w:leader="none"/>
        </w:tabs>
        <w:rPr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  <w:u w:val="none"/>
        </w:rPr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Так, согласно статистическим данным ГИБДД,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на территории Белгородской области с участием несовершеннолетних водителей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мототранспорта, в том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числе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питбайков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, в 2023 году зарегистрировано 8 ДТП (3 погибли, 5 ранено), в 202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4 году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–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23 ДТП (23 ранено), в 2025 году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–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36 ДТП (1 погиб, 35 ранено).</w:t>
      </w:r>
      <w:r>
        <w:rPr>
          <w:sz w:val="26"/>
          <w:szCs w:val="26"/>
          <w:u w:val="none"/>
        </w:rPr>
      </w:r>
      <w:r/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sz w:val="26"/>
          <w:szCs w:val="26"/>
          <w:u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Представленный проект 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закона Белгородской области разработан в рамках р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еализации положений Федерального закона от 24 июля 1998 года 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№ 124-ФЗ «Об основ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ных гарантиях прав ребенка в Российской Федерации» и Федерал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ьного закона от 23 июня 2016 года № 182-ФЗ «Об основах системы 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профилактики правонарушений в Российской Федерации» и 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направлен на предупреждение при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чинения вреда жизни и здоровью несовершеннолетних, профилактику совершения ими правонарушений, а также защиту прав и законных интересов граждан, проживающих на территории Белгородской области. </w:t>
      </w:r>
      <w:r>
        <w:rPr>
          <w:sz w:val="26"/>
          <w:szCs w:val="26"/>
          <w:u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2.2. Информация о возникновении и выявлении проблемы: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широкая доступность мототехники (включая питбайки и квадроциклы), реализуемой как спортивный инвентарь, в том числе посредством сети «Интернет», без необходимости получения права управления транспортными средствами;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возможность свободного приобретения несовершеннолетними моторного топлива;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недостаточный контроль со стороны родителей (законных представителей) за использованием несовершеннолетними механических транспортных средств, спортивного инвентаря, а также их осознанное приобретение для несовершеннолетних детей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длительное отсутствие правового регулирования</w:t>
      </w:r>
      <w:r>
        <w:rPr>
          <w:rFonts w:ascii="Times New Roman" w:hAnsi="Times New Roman" w:cs="Times New Roman"/>
          <w:sz w:val="26"/>
          <w:szCs w:val="26"/>
        </w:rPr>
        <w:t xml:space="preserve"> в сфере розничной торговли моторным топливом, в части касающейся его продажи несовершеннолетним, на федеральном уровне;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отсутствие дополнительных региональных ограничений, направленных на предупреждение подобных случаев.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b/>
          <w:bCs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>
        <w:rPr>
          <w:b/>
          <w:bCs/>
        </w:rPr>
      </w:r>
      <w:r/>
    </w:p>
    <w:p>
      <w:pPr>
        <w:ind w:left="0" w:right="0" w:firstLine="709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shd w:val="clear" w:color="auto" w:fill="auto"/>
        </w:rPr>
        <w:t xml:space="preserve">- рост ч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исла случаев уп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равления механическими транспортными средствами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, особенно мототехникой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, несовершеннолетними, не имеющими права управления транспортом;</w:t>
      </w:r>
      <w:r>
        <w:rPr>
          <w:sz w:val="26"/>
          <w:szCs w:val="26"/>
        </w:rPr>
      </w:r>
      <w:r/>
    </w:p>
    <w:p>
      <w:pPr>
        <w:ind w:left="0" w:right="0" w:firstLine="709"/>
        <w:jc w:val="both"/>
        <w:spacing w:before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 использование несовершеннолетними средств передвижения,                                 не предназначенных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для эксплуатации на автомобильных дорогах общего пользования (спортивный инвентарь, включая питбайки и квадроциклы), которые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характеризуются высокой скоростью и повышенной травмоопасностью;</w:t>
      </w:r>
      <w:r>
        <w:rPr>
          <w:sz w:val="26"/>
          <w:szCs w:val="26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auto" w:fill="auto"/>
        <w:tabs>
          <w:tab w:val="left" w:pos="3540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увеличение количества дорожно-транспортных происшествий, в том числе с тяжкими последствиями.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br/>
        <w:t xml:space="preserve">в соответствующих сферах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деятельности:*</w:t>
      </w:r>
      <w:r>
        <w:rPr>
          <w:b/>
          <w:bCs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Изучение регионального опыта показывает, что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аналогичные ограничения на розничную продажу моторного топлива несовершеннолетним уже установлены в ряде субъектов Российской Федерации, в том числе в Астраханской области, Вологодской области, Кировской области, Костромской области, К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емеровской области, Чувашской Республике, Республике Татарстан и Приморском крае, Ярославской области.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Так, в</w:t>
      </w:r>
      <w:r>
        <w:rPr>
          <w:rFonts w:ascii="Times New Roman" w:hAnsi="Times New Roman" w:cs="Times New Roman"/>
          <w:sz w:val="26"/>
          <w:szCs w:val="26"/>
        </w:rPr>
        <w:t xml:space="preserve"> Астраханской области принят Закон </w:t>
      </w:r>
      <w:r>
        <w:rPr>
          <w:rFonts w:ascii="Times New Roman" w:hAnsi="Times New Roman" w:cs="Times New Roman"/>
          <w:sz w:val="26"/>
          <w:szCs w:val="26"/>
        </w:rPr>
        <w:t xml:space="preserve">Астраханской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от 30 января 2026 года № 1/2026-ОЗ «О внесении изменений в Закон Астраханской области </w:t>
        <w:br/>
        <w:t xml:space="preserve">«О защите нравственности и здоровья детей в Астраханской области» и Закон Астраханской области «Об административных правонарушениях»</w:t>
      </w:r>
      <w:r>
        <w:rPr>
          <w:rFonts w:ascii="Times New Roman" w:hAnsi="Times New Roman" w:cs="Times New Roman"/>
          <w:sz w:val="26"/>
          <w:szCs w:val="26"/>
        </w:rPr>
        <w:t xml:space="preserve">, согласно которому на территории Астраханской области не допускается ро</w:t>
      </w:r>
      <w:r>
        <w:rPr>
          <w:rFonts w:ascii="Times New Roman" w:hAnsi="Times New Roman" w:cs="Times New Roman"/>
          <w:sz w:val="26"/>
          <w:szCs w:val="26"/>
        </w:rPr>
        <w:t xml:space="preserve">зничная продажа моторного топлива несовершеннолетним, за исключением розничной продажи моторного топлива при заправке топливного бака транспортного средства лицами, достигшими шестнадцатилетнего возраста, имеющим право на управление транспортным средством.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Ки</w:t>
      </w:r>
      <w:r>
        <w:rPr>
          <w:rFonts w:ascii="Times New Roman" w:hAnsi="Times New Roman" w:cs="Times New Roman"/>
          <w:sz w:val="26"/>
          <w:szCs w:val="26"/>
        </w:rPr>
        <w:t xml:space="preserve">ровской области в соответствии со статьями 2 и 3 Закона Кировской области от 04 марта 2021 года № 452-ЗО «О некоторых мерах по обеспечению прав детей на охрану здоровья» также запре</w:t>
      </w:r>
      <w:r>
        <w:rPr>
          <w:rFonts w:ascii="Times New Roman" w:hAnsi="Times New Roman" w:cs="Times New Roman"/>
          <w:sz w:val="26"/>
          <w:szCs w:val="26"/>
        </w:rPr>
        <w:t xml:space="preserve">щена розничная продажа несовершеннолетним автомобильного бензина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 Республики Татарстан от 23 июля 2025 года № 53-ЗРТ 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 не допускает розничную продаж</w:t>
      </w:r>
      <w:r>
        <w:rPr>
          <w:rFonts w:ascii="Times New Roman" w:hAnsi="Times New Roman" w:cs="Times New Roman"/>
          <w:sz w:val="26"/>
          <w:szCs w:val="26"/>
        </w:rPr>
        <w:t xml:space="preserve">у несовершеннолетним автомобильного бензина, за исключением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Аналогичные нормативные правовые акты приняты в Ярославской области, Приморском крае, Чувашской Республике.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br/>
      </w:r>
      <w:bookmarkStart w:id="1" w:name="_GoBack"/>
      <w:r>
        <w:rPr>
          <w:b/>
          <w:bCs/>
        </w:rPr>
      </w:r>
      <w:bookmarkEnd w:id="1"/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их достижения: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3.1. Описание целей предлагаемого правового регулирования: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снижение количества случаев управления механическими транспортными с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редствами, в частности мототранспортом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, несовершеннолетними лицами,  не имеющими права управления транспортом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, а также средствами передвижения не предназначенными для эксплуатации на автомобильных дорогах общего пользования (спортивный инвентарь, включая питбайки и квадроциклы);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 снижение уровня дорожно-транспортных происшествий с участием несовершеннолетних;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- сохранение жизни и здоровья детей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 повышение уровня безопасности дорожного движения;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- усиление контроля со стороны родителей (законных представителей)                          за использованием несовершеннолетними механических транспортных средств.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Проект закона Белгородс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кой области разработан в рамках реализации положений Федерального закона от 24 июля 1998 года № 124-ФЗ «Об основных гарантиях прав ребенка в Российской Федерации» и Федерального закона от 23 июня 2016 года № 182-ФЗ «Об основах системы профилактики правонар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ушений в Российской Федерации» и направлен на предупреждение причинения вреда жизни и здоровью несовершеннолетних, профилактику совершения ими правонарушений, а также защиту прав и законных интересов граждан, проживающих на территории Белгородской области.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b/>
          <w:bCs/>
        </w:rPr>
      </w:r>
      <w:r/>
    </w:p>
    <w:p>
      <w:pPr>
        <w:ind w:firstLine="709"/>
        <w:jc w:val="left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2026 года.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b/>
          <w:bCs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Иная информация о целях предлагаемого правового регулирования: 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</w:rPr>
        <w:t xml:space="preserve">отсутствует</w:t>
      </w:r>
      <w:r>
        <w:t xml:space="preserve">.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4. Описание предлагаемого правового регулирования: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проект закона устанавливает ограничения розничной продажи моторного топлива лицам, не достигшим возраста восемнадцати лет.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 При этом исключение составят случаи 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розничной продажи топлива гражданам, достигшим возраста шестнадцати лет и имеющим пра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во управления транспортными средствами.</w:t>
      </w:r>
      <w:r>
        <w:rPr>
          <w:sz w:val="26"/>
          <w:szCs w:val="26"/>
          <w:highlight w:val="none"/>
          <w:u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4.2. Альтернативные варианты решения проблемы: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отсутствие ограничения продажи несовершеннолетним автомобильного бензина.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Установление ограничения продажи несовершеннолетним моторного топлива, по мнению разработчика, повлечет снижение детского дорожно-транспортно</w:t>
      </w:r>
      <w:r>
        <w:rPr>
          <w:rFonts w:ascii="Times New Roman" w:hAnsi="Times New Roman" w:cs="Times New Roman"/>
          <w:sz w:val="26"/>
          <w:szCs w:val="26"/>
        </w:rPr>
        <w:t xml:space="preserve">го травматизма и предотвращение гибели на дорогах несовершеннолетних в связи с отсутствием доступа последних к топливу и, как следствие, невозможности использования технических средств передвижения.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Предлагаемое законопроектом правовое регулирование будет носить превентивный характер и способствовать сохранению жизни и здоровья детей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  <w:highlight w:val="none"/>
          <w:u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spacing w:after="0" w:afterAutospacing="0" w:line="240" w:lineRule="auto"/>
              <w:shd w:val="clear" w:color="auto" w:fill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Юридические лица и индивидуальные предприниматели, осуществляющие розничную продажу моторного топлива на территории Белгородской области (по состоянию на 01.04.2026 г.)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139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Все население Белгородской области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около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1,5 млн человек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left="0" w:right="57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Юридические лица и индивидуальные предприниматели, осуществляющие розничную продажу моторного топлива на территории Белгородской области </w:t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0" w:right="57" w:firstLine="0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Ограничение розничной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продажи моторного топлива лицам, не достигшим возраста восемнадцати лет, за исключением розничной продажи моторного топлива лицам, достигшим возраста шестнадцати лет и имеющим право на управление транспортными средствами.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left="0" w:right="57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Количественная оценка не представлена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изменении:*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left="0" w:right="5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экономического развития и промышленности 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несение изменений в закон Белгородской области «Об административных правонарушениях на территории Белгородской области»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57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Merge w:val="restart"/>
            <w:textDirection w:val="lrTb"/>
            <w:noWrap w:val="false"/>
          </w:tcPr>
          <w:p>
            <w:pPr>
              <w:ind w:left="0" w:right="57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Органы местного самоуправления 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Осуществление контроля за соблюдением установленных требований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области:*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968"/>
        <w:gridCol w:w="2269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Контроль за соблюдением установленных требований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Введение административной ответственности за несоблюдение установленных требований</w:t>
            </w:r>
            <w:r/>
          </w:p>
        </w:tc>
        <w:tc>
          <w:tcPr>
            <w:tcW w:w="2269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      -</w:t>
            </w:r>
            <w:r>
              <w:rPr>
                <w:b/>
                <w:bCs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проектом закона установлен запрет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розничной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продажи моторного топлива лицам, не достигшим возраста восемнадцати лет, за исключением розничной продажи моторного топлива лицам, достигшим возраста шестнадцати лет и имеющим право на управление транспортными средствами.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9"/>
        <w:gridCol w:w="2695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  <w:trHeight w:val="29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9" w:type="dxa"/>
            <w:textDirection w:val="lrTb"/>
            <w:noWrap w:val="false"/>
          </w:tcPr>
          <w:p>
            <w:pPr>
              <w:ind w:left="0" w:right="57" w:firstLine="0"/>
              <w:jc w:val="left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Несоблюдение хозяйствующими субъектами установленных требований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в случае возникновения у лица, непосредственно осуществляющего отпуск моторного топлива, сомнения в достижении лицом, приобретающим товар, совершеннолетия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Средняя</w:t>
            </w:r>
            <w:r>
              <w:rPr>
                <w:sz w:val="26"/>
                <w:szCs w:val="26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Положения законопроекта носят прежде всего предупредительный характер.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Осуществление контрольных мероприятий. Введение административной ответственности за несоблюдение установленных требований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ind w:firstLine="709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мероприятия:*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700"/>
        <w:gridCol w:w="156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Принятие законопроекта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II квартал 2026 г.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Отсутствие продаж моторного топлива несовершеннолетними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Информационное оповещение хозяйствующими субъектами клиентов автозаправочных станций о введенных ограничениях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После принятия нормативного правового акта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Отсутствие продаж моторного топлива несовершен-нолетними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b/>
          <w:bCs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регулирования:*</w:t>
      </w:r>
      <w:r>
        <w:rPr>
          <w:b/>
          <w:bCs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b/>
          <w:bCs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1989"/>
        <w:gridCol w:w="2263"/>
        <w:gridCol w:w="2801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Снижение количества ДТП с участием несовершеннолетних водителей </w:t>
            </w:r>
            <w:r>
              <w:rPr>
                <w:b w:val="0"/>
                <w:bCs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  <w:lang w:eastAsia="ru-RU"/>
              </w:rPr>
              <w:t xml:space="preserve">  Не более 20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  <w:lang w:eastAsia="ru-RU"/>
              </w:rPr>
              <w:t xml:space="preserve"> в год</w:t>
            </w:r>
            <w:r>
              <w:rPr>
                <w:b w:val="0"/>
                <w:bCs w:val="0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  <w:lang w:eastAsia="ru-RU"/>
              </w:rPr>
              <w:t xml:space="preserve">Мониторинг сводок МВД </w:t>
            </w:r>
            <w:r>
              <w:rPr>
                <w:b w:val="0"/>
                <w:bCs w:val="0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  <w:lang w:eastAsia="ru-RU"/>
              </w:rPr>
              <w:t xml:space="preserve">2032 год</w:t>
            </w:r>
            <w:r>
              <w:rPr>
                <w:b w:val="0"/>
                <w:bCs w:val="0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«1» сентября 2026 года</w:t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1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2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21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22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24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25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6" w:customStyle="1">
    <w:name w:val="Знак"/>
    <w:basedOn w:val="81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15</cp:revision>
  <dcterms:created xsi:type="dcterms:W3CDTF">2022-04-27T14:18:00Z</dcterms:created>
  <dcterms:modified xsi:type="dcterms:W3CDTF">2026-04-17T07:36:44Z</dcterms:modified>
</cp:coreProperties>
</file>