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 внесении изменений в постановление Правительства Белгородской области от 26 мая 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br/>
        <w:t xml:space="preserve">2025 года № 271-пп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20» апреля 202</w:t>
      </w:r>
      <w:r>
        <w:rPr>
          <w:rFonts w:hint="default" w:ascii="Times New Roman" w:hAnsi="Times New Roman" w:eastAsia="Times New Roman" w:cs="Times New Roman"/>
          <w:i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04» </w:t>
      </w:r>
      <w:r>
        <w:rPr>
          <w:rFonts w:ascii="Times New Roman" w:hAnsi="Times New Roman" w:eastAsia="Times New Roman" w:cs="Times New Roman"/>
          <w:i/>
          <w:sz w:val="26"/>
          <w:szCs w:val="26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202</w:t>
      </w:r>
      <w:r>
        <w:rPr>
          <w:rFonts w:hint="default" w:ascii="Times New Roman" w:hAnsi="Times New Roman" w:eastAsia="Times New Roman" w:cs="Times New Roman"/>
          <w:i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Средняя.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Проектом нормативного правового акта расширяется перечень мер поддержки 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сельскохозяйственных товаропроизводителей области. Утверждается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Порядо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к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на возмещение затрат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ru-RU"/>
        </w:rPr>
        <w:t xml:space="preserve">Ухина</w:t>
      </w:r>
      <w:r>
        <w:rPr>
          <w:rFonts w:hint="default" w:ascii="Times New Roman" w:hAnsi="Times New Roman" w:eastAsia="Times New Roman" w:cs="Times New Roman"/>
          <w:i/>
          <w:sz w:val="26"/>
          <w:szCs w:val="26"/>
          <w:u w:val="single"/>
          <w:lang w:val="ru-RU"/>
        </w:rPr>
        <w:t xml:space="preserve"> Юлия Александровна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i/>
          <w:iCs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24-76-</w:t>
      </w:r>
      <w:r>
        <w:rPr>
          <w:rFonts w:hint="default" w:ascii="Times New Roman" w:hAnsi="Times New Roman" w:eastAsia="Times New Roman" w:cs="Times New Roman"/>
          <w:i/>
          <w:sz w:val="26"/>
          <w:szCs w:val="26"/>
          <w:u w:val="single"/>
          <w:lang w:val="ru-RU"/>
        </w:rPr>
        <w:t xml:space="preserve">57.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highlight w:val="none"/>
          <w:u w:val="single"/>
          <w:lang w:val="en-US"/>
        </w:rPr>
        <w:t xml:space="preserve">ukhina_yua@belgov.ru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Невозможность проведения отбора на предоставление субсидии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</w:rPr>
        <w:t xml:space="preserve">на возмещение затрат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  <w:lang w:val="ru-RU"/>
        </w:rPr>
        <w:t xml:space="preserve">,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без утвержденного регионального нормативно-правового акта, регламентирующего порядок предоставления из областного бюджета средств на данное направление.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b w:val="0"/>
          <w:bCs w:val="0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Мониторинг федерального законодательства, а также антикризисных мер в сельскохозяйственном секторе региона,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bidi="en-US"/>
        </w:rPr>
        <w:t xml:space="preserve">мониторинг обеспеченности личных подсобных хозяйств финансовыми ресурсами для </w:t>
      </w: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u w:val="single"/>
          <w:lang w:val="ru-RU"/>
        </w:rPr>
        <w:t xml:space="preserve">развития виноградарства и виноделия в Белгородской области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sz w:val="26"/>
          <w:szCs w:val="26"/>
          <w:u w:val="single"/>
          <w:lang w:bidi="en-US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6"/>
          <w:szCs w:val="26"/>
          <w:highlight w:val="none"/>
          <w:u w:val="single"/>
          <w14:textFill>
            <w14:solidFill>
              <w14:schemeClr w14:val="tx1"/>
            </w14:solidFill>
          </w14:textFill>
        </w:rPr>
        <w:t xml:space="preserve">- невозможность проведения конкурсных мероприятий, отсутствие альтернативных безвозмездных методов поддержки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  <w:lang w:val="ru-RU"/>
        </w:rPr>
        <w:t xml:space="preserve">,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6"/>
          <w:szCs w:val="2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в современных условиях.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Анализ опыта иных субъектов Российской Федерации показал, что органами исполнительной власти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субъектов Российской Федерации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(Краснодарский край, Ростовская область, Республика Крым)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ведутся работы по принятию аналогичных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Порядк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ов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на возмещение затрат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Создание оптимальных условий для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оказания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 государственной поддержки по предоставлению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субсидии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</w:rPr>
        <w:t xml:space="preserve">на возмещение затрат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highlight w:val="none"/>
          <w:u w:val="single"/>
          <w:lang w:val="ru-RU"/>
        </w:rPr>
        <w:t xml:space="preserve">, с целью развития виноградарства и виноделия в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 w:val="0"/>
          <w:sz w:val="28"/>
          <w:szCs w:val="28"/>
          <w:u w:val="single"/>
        </w:rPr>
        <w:t xml:space="preserve">П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роект нормативного правового акта разработан в соответствии с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постанов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лением Правительства Российской Федерации от 25 октября 2023 года 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  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№ 1782 «Об утверждении общих требований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rFonts w:hint="default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физическим лицам </w:t>
      </w:r>
      <w:r>
        <w:rPr>
          <w:rFonts w:hint="default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и проведение отборов получателей указанных субсидий, в том числе грантов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в форме субсидий»,</w:t>
      </w:r>
      <w:r>
        <w:rPr>
          <w:rFonts w:hint="default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а т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акже 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в </w:t>
      </w:r>
      <w:r>
        <w:rPr>
          <w:rFonts w:hint="default" w:ascii="Times New Roman" w:hAnsi="Times New Roman" w:cs="Times New Roman"/>
          <w:i/>
          <w:iCs w:val="0"/>
          <w:sz w:val="26"/>
          <w:szCs w:val="26"/>
          <w:u w:val="single"/>
          <w:lang w:val="ru-RU"/>
        </w:rPr>
        <w:t xml:space="preserve">целях актуализации и повышения эффективности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 реализации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sz w:val="26"/>
          <w:szCs w:val="26"/>
          <w:u w:val="single"/>
        </w:rPr>
        <w:t xml:space="preserve">от 25 декабря 2023 года № 751-пп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декабрь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202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года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6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Calibri" w:cs="Times New Roman"/>
          <w:bCs/>
          <w:i/>
          <w:color w:val="auto"/>
          <w:sz w:val="26"/>
          <w:szCs w:val="26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</w:rPr>
        <w:t xml:space="preserve">Проектом нормативного правового акта утверждается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Поряд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ок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на возмещение затрат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, включающий:</w:t>
      </w:r>
      <w:r/>
    </w:p>
    <w:p>
      <w:pPr>
        <w:jc w:val="both"/>
        <w:spacing w:after="0" w:line="240" w:lineRule="auto"/>
        <w:widowControl w:val="off"/>
        <w:tabs>
          <w:tab w:val="left" w:pos="6596" w:leader="none"/>
        </w:tabs>
        <w:rPr>
          <w:rFonts w:ascii="Times New Roman" w:hAnsi="Times New Roman" w:eastAsia="Times New Roman" w:cs="Times New Roman"/>
          <w:b w:val="0"/>
          <w:bCs/>
          <w:i/>
          <w:sz w:val="26"/>
          <w:szCs w:val="26"/>
          <w:highlight w:val="none"/>
          <w:u w:val="none"/>
          <w:lang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auto"/>
          <w:sz w:val="26"/>
          <w:szCs w:val="26"/>
          <w:highlight w:val="none"/>
          <w:u w:val="none"/>
          <w:lang w:val="ru-RU"/>
        </w:rPr>
        <w:t xml:space="preserve">       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auto"/>
          <w:sz w:val="26"/>
          <w:szCs w:val="26"/>
          <w:highlight w:val="none"/>
          <w:u w:val="none"/>
          <w:lang w:val="ru-RU"/>
        </w:rPr>
        <w:t xml:space="preserve">   -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u w:val="none"/>
          <w:lang w:eastAsia="ru-RU"/>
        </w:rPr>
        <w:t xml:space="preserve"> порядок   проведения   отбора   получателей   Субсидии</w:t>
      </w:r>
      <w:r>
        <w:rPr>
          <w:b w:val="0"/>
          <w:bCs w:val="0"/>
          <w:i/>
          <w:iCs/>
          <w:sz w:val="26"/>
          <w:szCs w:val="26"/>
          <w:u w:val="none"/>
        </w:rPr>
      </w:r>
      <w:r>
        <w:rPr>
          <w:b w:val="0"/>
          <w:bCs w:val="0"/>
          <w:i/>
          <w:iCs/>
          <w:sz w:val="26"/>
          <w:szCs w:val="26"/>
          <w:u w:val="none"/>
        </w:rPr>
        <w:t xml:space="preserve"> </w:t>
      </w:r>
      <w:r>
        <w:rPr>
          <w:b w:val="0"/>
          <w:bCs w:val="0"/>
          <w:i/>
          <w:iCs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u w:val="none"/>
          <w:lang w:eastAsia="ru-RU"/>
        </w:rPr>
        <w:t xml:space="preserve"> для  предоставления Субсидий;</w:t>
      </w:r>
      <w:r>
        <w:rPr>
          <w:rFonts w:hint="default" w:ascii="Times New Roman" w:hAnsi="Times New Roman" w:eastAsia="Calibri" w:cs="Times New Roman"/>
          <w:b w:val="0"/>
          <w:bCs w:val="0"/>
          <w:i/>
          <w:iCs/>
          <w:color w:val="auto"/>
          <w:sz w:val="26"/>
          <w:szCs w:val="26"/>
          <w:highlight w:val="none"/>
          <w:u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6"/>
          <w:szCs w:val="26"/>
          <w:u w:val="none"/>
        </w:rPr>
      </w:r>
    </w:p>
    <w:p>
      <w:pPr>
        <w:jc w:val="both"/>
        <w:spacing w:after="0" w:line="240" w:lineRule="auto"/>
        <w:widowControl w:val="off"/>
        <w:tabs>
          <w:tab w:val="left" w:pos="6596" w:leader="none"/>
        </w:tabs>
        <w:rPr>
          <w:rFonts w:ascii="Times New Roman" w:hAnsi="Times New Roman" w:eastAsia="Times New Roman" w:cs="Times New Roman"/>
          <w:b w:val="0"/>
          <w:bCs/>
          <w:i/>
          <w:sz w:val="26"/>
          <w:szCs w:val="26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lang w:eastAsia="ru-RU"/>
        </w:rPr>
        <w:t xml:space="preserve">условия и порядок предоставления Субсидий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widowControl w:val="off"/>
        <w:tabs>
          <w:tab w:val="left" w:pos="6596" w:leader="none"/>
        </w:tabs>
        <w:rPr>
          <w:rFonts w:ascii="Times New Roman" w:hAnsi="Times New Roman" w:eastAsia="Times New Roman" w:cs="Times New Roman"/>
          <w:b w:val="0"/>
          <w:bCs/>
          <w:i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lang w:eastAsia="ru-RU"/>
        </w:rPr>
        <w:t xml:space="preserve">требование к отчетности;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u w:val="none"/>
          <w:lang w:eastAsia="ru-RU"/>
        </w:rPr>
      </w:r>
    </w:p>
    <w:p>
      <w:pPr>
        <w:jc w:val="both"/>
        <w:spacing w:after="0" w:line="240" w:lineRule="auto"/>
        <w:widowControl w:val="off"/>
        <w:tabs>
          <w:tab w:val="left" w:pos="6596" w:leader="none"/>
        </w:tabs>
        <w:rPr>
          <w:rFonts w:ascii="Times New Roman" w:hAnsi="Times New Roman" w:eastAsia="Times New Roman" w:cs="Times New Roman"/>
          <w:b w:val="0"/>
          <w:bCs w:val="0"/>
          <w:i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lang w:eastAsia="ru-RU"/>
        </w:rPr>
        <w:t xml:space="preserve">             - 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lang w:eastAsia="ru-RU"/>
        </w:rPr>
        <w:t xml:space="preserve">требования к осуществлению контроля (мониторинга)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lang w:eastAsia="ru-RU"/>
        </w:rPr>
        <w:t xml:space="preserve"> за соблюдением условий и порядка предоставления Субсидий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lang w:eastAsia="ru-RU"/>
        </w:rPr>
        <w:t xml:space="preserve">и ответственность за их нарушение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6"/>
          <w:szCs w:val="26"/>
          <w:u w:val="single"/>
          <w:shd w:val="clear" w:color="auto" w:fill="ffffff"/>
          <w:lang w:val="ru-RU"/>
        </w:rPr>
        <w:t xml:space="preserve">П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6"/>
          <w:szCs w:val="26"/>
          <w:u w:val="single"/>
          <w:shd w:val="clear" w:color="auto" w:fill="ffffff"/>
        </w:rPr>
        <w:t xml:space="preserve">риобретение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6"/>
          <w:szCs w:val="26"/>
          <w:u w:val="single"/>
          <w:shd w:val="clear" w:color="auto" w:fill="ffffff"/>
          <w:lang w:val="ru-RU"/>
        </w:rPr>
        <w:t xml:space="preserve"> посадочного материала виноградных растений для закладки виноградных насаждений, установкой шпалер, противоградовой сетки, а также установкой систем орошения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за счет собственных либо заемных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highlight w:val="non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При размере гранта в сумме 1 млн. руб. в случае привлечения заемных средств в вышеуказанной сумме (под процентную ставку в размере 5 %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(в сфере АПК) </w:t>
        <w:br/>
        <w:t xml:space="preserve">на 12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месяц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ев,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переплата получателя составит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en-US" w:eastAsia="zh-CN"/>
        </w:rPr>
        <w:t xml:space="preserve">27,29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тыс. руб.</w:t>
      </w:r>
      <w:r>
        <w:rPr>
          <w:rFonts w:ascii="Times New Roman" w:hAnsi="Times New Roman" w:eastAsia="Calibri" w:cs="Times New Roman"/>
          <w:bCs/>
          <w:i/>
          <w:highlight w:val="none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Оптимальным способом решения проблемы считаем принятие постановления Правительства Белгородской области «О внесении изменений в постановление Правительства Белгородской области от 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6 мая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202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5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года №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271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-пп»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/>
          <w:iCs w:val="0"/>
          <w:sz w:val="26"/>
          <w:szCs w:val="26"/>
          <w:u w:val="single"/>
          <w:lang w:val="ru-RU"/>
        </w:rPr>
        <w:t xml:space="preserve">в части утверждения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Поряд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ка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предоставления субсидий из областного бюджета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на возмещение затрат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</w:rPr>
        <w:t xml:space="preserve">Утверждение предложенного порядка позволит создать оптимальные условия для получения 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гражданам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, ведущим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 личное подсобное хозяйство и применяющим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</w:rPr>
        <w:t xml:space="preserve"> специальный налоговый режим «Налог на профессиональный доход»</w:t>
      </w:r>
      <w:r>
        <w:rPr>
          <w:rFonts w:hint="default" w:ascii="Times New Roman" w:hAnsi="Times New Roman" w:eastAsia="Calibri" w:cs="Times New Roman"/>
          <w:i/>
          <w:iCs w:val="0"/>
          <w:color w:val="auto"/>
          <w:sz w:val="26"/>
          <w:szCs w:val="26"/>
          <w:u w:val="single"/>
          <w:lang w:val="ru-RU"/>
        </w:rPr>
        <w:t xml:space="preserve">, 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</w:rPr>
        <w:t xml:space="preserve">государственной поддержки на возмещение части затрат на </w:t>
      </w:r>
      <w:r>
        <w:rPr>
          <w:rFonts w:hint="default" w:ascii="Times New Roman" w:hAnsi="Times New Roman" w:eastAsia="Calibri" w:cs="Times New Roman"/>
          <w:i/>
          <w:sz w:val="26"/>
          <w:szCs w:val="26"/>
          <w:u w:val="single"/>
          <w:lang w:val="ru-RU"/>
        </w:rPr>
        <w:t xml:space="preserve">развитие виноградарства.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их развитию и повышению заинтересованности личных подсобных хозяйств к увеличению производства сельскохозяйственной продукции.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left="0" w:right="57" w:firstLine="440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Граждане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 ведущие личное подсобное хозяйство и применяющие специальный налоговый режим «Налог на профессиональный доход»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i/>
                <w:sz w:val="26"/>
                <w:szCs w:val="26"/>
                <w:lang w:val="ru-RU"/>
              </w:rPr>
              <w:t xml:space="preserve">3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69" w:leftFromText="180" w:topFromText="0" w:rightFromText="180" w:bottomFromText="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4674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Граждане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 ведущие личное подсобное хозяйство и применяющие специальный налоговый режим «Налог на профессиональный доход»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Возможность получения субсидии 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6"/>
                <w:szCs w:val="26"/>
                <w:lang w:val="en-US" w:eastAsia="zh-CN"/>
              </w:rPr>
              <w:t xml:space="preserve">развитие виноградарства 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6"/>
                <w:szCs w:val="26"/>
              </w:rPr>
              <w:t xml:space="preserve">гражданами, ведущим личное подсобное хозяйство и применяющими специальный налоговый режим «Налог на профессиональный доход»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ранее не предусмотренной действующими программами государственной поддержки</w:t>
            </w:r>
            <w:r/>
          </w:p>
          <w:p>
            <w:pPr>
              <w:ind w:right="57" w:firstLine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</w:rPr>
              <w:t xml:space="preserve">Средства 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  <w:lang w:val="ru-RU"/>
              </w:rPr>
              <w:t xml:space="preserve">будут 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</w:rPr>
              <w:t xml:space="preserve">предоставлят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  <w:lang w:val="ru-RU"/>
              </w:rPr>
              <w:t xml:space="preserve">ь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</w:rPr>
              <w:t xml:space="preserve">ся на возмещение части затрат 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  <w:lang w:val="ru-RU"/>
              </w:rPr>
              <w:t xml:space="preserve">до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  <w:lang w:val="ru-RU"/>
              </w:rPr>
              <w:t xml:space="preserve">9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6"/>
                <w:szCs w:val="26"/>
                <w:shd w:val="clear" w:color="auto" w:fill="ffffff"/>
              </w:rPr>
              <w:t xml:space="preserve">0 %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4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single"/>
              </w:rPr>
              <w:t xml:space="preserve">Обязанности: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предоставление пакета документов, необходимого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Общая стоимость требования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по предоставлению пакета документов для получения субсидии на развитие виноградарства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highlight w:val="none"/>
                <w:lang w:val="en-US" w:eastAsia="ru-RU"/>
              </w:rPr>
              <w:t xml:space="preserve">10 137,6</w:t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highlight w:val="none"/>
                <w:lang w:eastAsia="ru-RU"/>
              </w:rPr>
              <w:t xml:space="preserve">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="1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 w:val="0"/>
              <w:keepNext w:val="0"/>
              <w:pageBreakBefore w:val="0"/>
              <w:spacing w:line="240" w:lineRule="auto"/>
              <w:widowControl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Выдача субсидии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на 2026 год </w:t>
              <w:br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  <w:t xml:space="preserve">1 000,0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тыс. руб.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  <w:t xml:space="preserve"> из бюджета Белгородской области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 xml:space="preserve">обязательные требования проектом нормативного правового акта не предусмотрены.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Style w:val="645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vAlign w:val="top"/>
            <w:textDirection w:val="lrTb"/>
            <w:noWrap w:val="false"/>
          </w:tcPr>
          <w:p>
            <w:pPr>
              <w:ind w:right="57"/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Отсутствие заявок на участие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Мониторинг эффективности предоставляемых мер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83"/>
        <w:gridCol w:w="151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815"/>
              <w:jc w:val="center"/>
              <w:keepNext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Размещение информации о принятии постановления Правительства Белгородской области на  официальном сайте ведомства (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www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.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belapk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.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ru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 ) и на едином портале</w:t>
            </w:r>
            <w:r/>
          </w:p>
          <w:p>
            <w:pPr>
              <w:pStyle w:val="815"/>
              <w:jc w:val="center"/>
              <w:keepNext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pStyle w:val="815"/>
              <w:jc w:val="center"/>
              <w:keepNext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pStyle w:val="815"/>
              <w:jc w:val="center"/>
              <w:keepNext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Проведение обучающих семинаров. Информирование населения о мерах поддержки, мониторинг потенциальных участников отбора, взаимодействие с муниципалитетами области</w:t>
            </w:r>
            <w:r/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май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br/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Увеличение численности поданных заявок и потенциальных претендентов на получение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государственн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  <w:t xml:space="preserve">ой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поддерж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  <w:t xml:space="preserve">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9" w:type="dxa"/>
            <w:vAlign w:val="top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Style w:val="6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2126"/>
        <w:gridCol w:w="2689"/>
        <w:gridCol w:w="226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ind w:firstLine="22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Количество заявителей, получивших субсидию на развитие</w:t>
            </w:r>
            <w:r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 w:eastAsia="ru-RU"/>
              </w:rPr>
              <w:t xml:space="preserve"> виноградарства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 ед.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</w:rPr>
              <w:t xml:space="preserve">Оценка поступивших заявок от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</w:rPr>
              <w:t xml:space="preserve">граждан, ведущих личное подсобное хозяйство и применяющих специальный налоговый режим «Налог на профессиональный доход»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ind w:firstLine="21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сентябрь</w:t>
            </w:r>
            <w:r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 w:eastAsia="ru-RU"/>
              </w:rPr>
              <w:t xml:space="preserve">-дека</w:t>
            </w:r>
            <w:bookmarkStart w:id="1" w:name="_GoBack"/>
            <w:r/>
            <w:bookmarkEnd w:id="1"/>
            <w:r>
              <w:rPr>
                <w:rFonts w:hint="default" w:ascii="Times New Roman" w:hAnsi="Times New Roman" w:eastAsia="Calibri" w:cs="Times New Roman"/>
                <w:bCs/>
                <w:i/>
                <w:sz w:val="26"/>
                <w:szCs w:val="26"/>
                <w:lang w:val="en-US" w:eastAsia="ru-RU"/>
              </w:rPr>
              <w:t xml:space="preserve">брь 2026 года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lang w:val="ru-RU"/>
        </w:rPr>
        <w:t xml:space="preserve">май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202</w:t>
      </w:r>
      <w:r>
        <w:rPr>
          <w:rFonts w:hint="default" w:ascii="Times New Roman" w:hAnsi="Times New Roman" w:eastAsia="Calibri" w:cs="Times New Roman"/>
          <w:i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eastAsia="Calibri" w:cs="Times New Roman"/>
          <w:i/>
          <w:sz w:val="26"/>
          <w:szCs w:val="26"/>
          <w:lang w:val="ru-RU"/>
        </w:rPr>
        <w:t xml:space="preserve">ода</w:t>
      </w:r>
      <w:r>
        <w:rPr>
          <w:rFonts w:hint="default" w:ascii="Times New Roman" w:hAnsi="Times New Roman" w:eastAsia="Calibri" w:cs="Times New Roman"/>
          <w:i/>
          <w:sz w:val="26"/>
          <w:szCs w:val="26"/>
          <w:lang w:val="ru-RU"/>
        </w:rPr>
        <w:t xml:space="preserve">.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ans-serif">
    <w:panose1 w:val="020B0606020202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1">
    <w:name w:val="Heading 7"/>
    <w:basedOn w:val="634"/>
    <w:next w:val="6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2">
    <w:name w:val="Heading 8"/>
    <w:basedOn w:val="634"/>
    <w:next w:val="6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3">
    <w:name w:val="Heading 9"/>
    <w:basedOn w:val="634"/>
    <w:next w:val="6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endnote text"/>
    <w:basedOn w:val="634"/>
    <w:link w:val="813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1">
    <w:name w:val="footnote text"/>
    <w:basedOn w:val="634"/>
    <w:link w:val="81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2">
    <w:name w:val="toc 8"/>
    <w:basedOn w:val="634"/>
    <w:next w:val="634"/>
    <w:uiPriority w:val="39"/>
    <w:unhideWhenUsed/>
    <w:qFormat/>
    <w:pPr>
      <w:ind w:left="1984" w:right="0" w:firstLine="0"/>
      <w:spacing w:after="57"/>
    </w:pPr>
  </w:style>
  <w:style w:type="paragraph" w:styleId="653">
    <w:name w:val="Header"/>
    <w:basedOn w:val="634"/>
    <w:link w:val="68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4">
    <w:name w:val="toc 9"/>
    <w:basedOn w:val="634"/>
    <w:next w:val="634"/>
    <w:uiPriority w:val="39"/>
    <w:unhideWhenUsed/>
    <w:qFormat/>
    <w:pPr>
      <w:ind w:left="2268" w:right="0" w:firstLine="0"/>
      <w:spacing w:after="57"/>
    </w:pPr>
  </w:style>
  <w:style w:type="paragraph" w:styleId="655">
    <w:name w:val="toc 7"/>
    <w:basedOn w:val="634"/>
    <w:next w:val="634"/>
    <w:uiPriority w:val="39"/>
    <w:unhideWhenUsed/>
    <w:qFormat/>
    <w:pPr>
      <w:ind w:left="1701" w:right="0" w:firstLine="0"/>
      <w:spacing w:after="57"/>
    </w:pPr>
  </w:style>
  <w:style w:type="paragraph" w:styleId="656">
    <w:name w:val="toc 1"/>
    <w:basedOn w:val="634"/>
    <w:next w:val="634"/>
    <w:uiPriority w:val="39"/>
    <w:unhideWhenUsed/>
    <w:qFormat/>
    <w:pPr>
      <w:ind w:left="0" w:right="0" w:firstLine="0"/>
      <w:spacing w:after="57"/>
    </w:pPr>
  </w:style>
  <w:style w:type="paragraph" w:styleId="657">
    <w:name w:val="toc 6"/>
    <w:basedOn w:val="634"/>
    <w:next w:val="634"/>
    <w:uiPriority w:val="39"/>
    <w:unhideWhenUsed/>
    <w:qFormat/>
    <w:pPr>
      <w:ind w:left="1417" w:right="0" w:firstLine="0"/>
      <w:spacing w:after="57"/>
    </w:pPr>
  </w:style>
  <w:style w:type="paragraph" w:styleId="658">
    <w:name w:val="table of figures"/>
    <w:basedOn w:val="634"/>
    <w:next w:val="634"/>
    <w:uiPriority w:val="99"/>
    <w:unhideWhenUsed/>
    <w:qFormat/>
    <w:pPr>
      <w:spacing w:after="0" w:afterAutospacing="0"/>
    </w:pPr>
  </w:style>
  <w:style w:type="paragraph" w:styleId="659">
    <w:name w:val="toc 3"/>
    <w:basedOn w:val="634"/>
    <w:next w:val="634"/>
    <w:uiPriority w:val="39"/>
    <w:unhideWhenUsed/>
    <w:qFormat/>
    <w:pPr>
      <w:ind w:left="567" w:right="0" w:firstLine="0"/>
      <w:spacing w:after="57"/>
    </w:pPr>
  </w:style>
  <w:style w:type="paragraph" w:styleId="660">
    <w:name w:val="toc 2"/>
    <w:basedOn w:val="634"/>
    <w:next w:val="634"/>
    <w:uiPriority w:val="39"/>
    <w:unhideWhenUsed/>
    <w:qFormat/>
    <w:pPr>
      <w:ind w:left="283" w:right="0" w:firstLine="0"/>
      <w:spacing w:after="57"/>
    </w:pPr>
  </w:style>
  <w:style w:type="paragraph" w:styleId="661">
    <w:name w:val="toc 4"/>
    <w:basedOn w:val="634"/>
    <w:next w:val="634"/>
    <w:uiPriority w:val="39"/>
    <w:unhideWhenUsed/>
    <w:qFormat/>
    <w:pPr>
      <w:ind w:left="850" w:right="0" w:firstLine="0"/>
      <w:spacing w:after="57"/>
    </w:pPr>
  </w:style>
  <w:style w:type="paragraph" w:styleId="662">
    <w:name w:val="toc 5"/>
    <w:basedOn w:val="634"/>
    <w:next w:val="634"/>
    <w:uiPriority w:val="39"/>
    <w:unhideWhenUsed/>
    <w:qFormat/>
    <w:pPr>
      <w:ind w:left="1134" w:right="0" w:firstLine="0"/>
      <w:spacing w:after="57"/>
    </w:pPr>
  </w:style>
  <w:style w:type="paragraph" w:styleId="663">
    <w:name w:val="Title"/>
    <w:basedOn w:val="634"/>
    <w:next w:val="6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4">
    <w:name w:val="Footer"/>
    <w:basedOn w:val="634"/>
    <w:link w:val="68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Subtitle"/>
    <w:basedOn w:val="634"/>
    <w:next w:val="634"/>
    <w:link w:val="679"/>
    <w:uiPriority w:val="11"/>
    <w:qFormat/>
    <w:pPr>
      <w:spacing w:before="200" w:after="200"/>
    </w:pPr>
    <w:rPr>
      <w:sz w:val="24"/>
      <w:szCs w:val="24"/>
    </w:rPr>
  </w:style>
  <w:style w:type="table" w:styleId="666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7" w:customStyle="1">
    <w:name w:val="Heading 1 Char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69" w:customStyle="1">
    <w:name w:val="Heading 3 Char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78" w:customStyle="1">
    <w:name w:val="Title Char"/>
    <w:basedOn w:val="644"/>
    <w:link w:val="663"/>
    <w:uiPriority w:val="10"/>
    <w:qFormat/>
    <w:rPr>
      <w:sz w:val="48"/>
      <w:szCs w:val="48"/>
    </w:rPr>
  </w:style>
  <w:style w:type="character" w:styleId="679" w:customStyle="1">
    <w:name w:val="Subtitle Char"/>
    <w:basedOn w:val="644"/>
    <w:link w:val="665"/>
    <w:uiPriority w:val="11"/>
    <w:qFormat/>
    <w:rPr>
      <w:sz w:val="24"/>
      <w:szCs w:val="24"/>
    </w:rPr>
  </w:style>
  <w:style w:type="paragraph" w:styleId="680">
    <w:name w:val="Quote"/>
    <w:basedOn w:val="634"/>
    <w:next w:val="63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Quote Char"/>
    <w:link w:val="680"/>
    <w:uiPriority w:val="29"/>
    <w:qFormat/>
    <w:rPr>
      <w:i/>
    </w:rPr>
  </w:style>
  <w:style w:type="paragraph" w:styleId="682">
    <w:name w:val="Intense Quote"/>
    <w:basedOn w:val="634"/>
    <w:next w:val="6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Intense Quote Char"/>
    <w:link w:val="682"/>
    <w:uiPriority w:val="30"/>
    <w:qFormat/>
    <w:rPr>
      <w:i/>
    </w:rPr>
  </w:style>
  <w:style w:type="character" w:styleId="684" w:customStyle="1">
    <w:name w:val="Header Char"/>
    <w:basedOn w:val="644"/>
    <w:link w:val="653"/>
    <w:uiPriority w:val="99"/>
    <w:qFormat/>
  </w:style>
  <w:style w:type="character" w:styleId="685" w:customStyle="1">
    <w:name w:val="Footer Char"/>
    <w:basedOn w:val="644"/>
    <w:link w:val="664"/>
    <w:uiPriority w:val="99"/>
    <w:qFormat/>
  </w:style>
  <w:style w:type="character" w:styleId="686" w:customStyle="1">
    <w:name w:val="Caption Char"/>
    <w:link w:val="664"/>
    <w:uiPriority w:val="99"/>
    <w:qFormat/>
  </w:style>
  <w:style w:type="table" w:styleId="687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16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17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18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29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30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31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32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33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34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35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1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2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3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4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5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6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77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78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80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81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792" w:customStyle="1">
    <w:name w:val="Lined - Accent 1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793" w:customStyle="1">
    <w:name w:val="Lined - Accent 2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794" w:customStyle="1">
    <w:name w:val="Lined - Accent 3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795" w:customStyle="1">
    <w:name w:val="Lined - Accent 4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4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799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00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01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02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06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08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09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 w:customStyle="1">
    <w:name w:val="Footnote Text Char"/>
    <w:link w:val="651"/>
    <w:uiPriority w:val="99"/>
    <w:qFormat/>
    <w:rPr>
      <w:sz w:val="18"/>
    </w:rPr>
  </w:style>
  <w:style w:type="character" w:styleId="813" w:customStyle="1">
    <w:name w:val="Endnote Text Char"/>
    <w:link w:val="649"/>
    <w:uiPriority w:val="99"/>
    <w:qFormat/>
    <w:rPr>
      <w:sz w:val="20"/>
    </w:rPr>
  </w:style>
  <w:style w:type="paragraph" w:styleId="814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15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16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17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18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19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20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21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22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23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191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19</cp:revision>
  <dcterms:created xsi:type="dcterms:W3CDTF">2024-04-22T17:57:00Z</dcterms:created>
  <dcterms:modified xsi:type="dcterms:W3CDTF">2026-04-20T09:28:08Z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