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Название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Установление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 в соответствии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Постановление Правительства РФ от 23.12.2020 № 2219 «О порядке определения орг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»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Условие возникновения требования: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Определение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мест нахождения источников повышенной опасности в соответствии с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подпунктом 7 пункта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2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предоставлено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органам государственной власти субъектов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Тип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Запрет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ой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продаж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и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алкогольной продукции и розничн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ой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продажи алкогольной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в местах нахождения источников повышенной опасности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на территории Белгородской области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Масштаб: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zh-CN"/>
        </w:rPr>
      </w:pPr>
      <w:r>
        <w:rPr>
          <w:rFonts w:ascii="Times New Roman" w:hAnsi="Times New Roman"/>
          <w:i/>
          <w:sz w:val="27"/>
          <w:szCs w:val="27"/>
        </w:rPr>
        <w:t xml:space="preserve">Согласно проекту</w:t>
      </w:r>
      <w:r>
        <w:rPr>
          <w:rStyle w:val="863"/>
          <w:rFonts w:ascii="Times New Roman" w:hAnsi="Times New Roman"/>
          <w:b w:val="0"/>
          <w:bCs w:val="0"/>
          <w:i/>
          <w:sz w:val="27"/>
          <w:szCs w:val="27"/>
        </w:rPr>
        <w:t xml:space="preserve"> постановления Правительства Белгородской области</w:t>
      </w:r>
      <w:r>
        <w:rPr>
          <w:rFonts w:ascii="Times New Roman" w:hAnsi="Times New Roman" w:eastAsia="Arial"/>
          <w:i/>
          <w:sz w:val="27"/>
          <w:szCs w:val="27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«</w:t>
      </w:r>
      <w:r>
        <w:rPr>
          <w:rFonts w:ascii="Times New Roman" w:hAnsi="Times New Roman" w:eastAsia="Arial"/>
          <w:i/>
          <w:sz w:val="27"/>
          <w:szCs w:val="27"/>
        </w:rPr>
        <w:t xml:space="preserve">О внесении изменений в постановление Правительства Белгородской области от 28 июня 2021 года № 239-пп» запрет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 установле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н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Места н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является расположение такого места в границах территории опасног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о производственного объекта, определенного в соответствии с Федеральным законом от 21.07.1997 № 116-ФЗ «О промышленной безопасности опасных производственных объектов», для которого предусмотрена обязательная разработка декларации промышленной безопасности.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  <w:lang w:eastAsia="zh-CN"/>
        </w:rPr>
        <w:t xml:space="preserve">Так, по информации Верхне-Донского управления Федеральной службы по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экологическому, технологическому и атомному надзору на территории Белгородской области </w:t>
      </w:r>
      <w:r>
        <w:rPr>
          <w:rFonts w:ascii="Times New Roman" w:hAnsi="Times New Roman"/>
          <w:bCs/>
          <w:i/>
          <w:sz w:val="27"/>
          <w:szCs w:val="27"/>
        </w:rPr>
        <w:t xml:space="preserve">в 4 муниципальных образованиях</w:t>
      </w:r>
      <w:r>
        <w:rPr>
          <w:rFonts w:ascii="Times New Roman" w:hAnsi="Times New Roman"/>
          <w:bCs/>
          <w:i/>
          <w:sz w:val="27"/>
          <w:szCs w:val="27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расположено 1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3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</w:t>
      </w:r>
      <w:r>
        <w:rPr>
          <w:rFonts w:ascii="Times New Roman" w:hAnsi="Times New Roman"/>
          <w:bCs/>
          <w:i/>
          <w:sz w:val="27"/>
          <w:szCs w:val="27"/>
        </w:rPr>
        <w:t xml:space="preserve">мест нахождения источников повышенной опасности</w:t>
      </w:r>
      <w:r>
        <w:rPr>
          <w:rFonts w:ascii="Times New Roman" w:hAnsi="Times New Roman"/>
          <w:bCs/>
          <w:i/>
          <w:sz w:val="27"/>
          <w:szCs w:val="27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Алексеевка – 3 источника;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Белгород – 6 источников;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Губкин – 1 источник;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Старый Оскол – 3 источника</w:t>
      </w:r>
      <w:r>
        <w:rPr>
          <w:rFonts w:ascii="Times New Roman" w:hAnsi="Times New Roman"/>
          <w:bCs/>
          <w:i/>
          <w:sz w:val="27"/>
          <w:szCs w:val="27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Частота: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Запрет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в местах нахождения источников повышенной опасности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на территории Белгородской области </w:t>
      </w:r>
      <w:r>
        <w:rPr>
          <w:rFonts w:ascii="Times New Roman" w:hAnsi="Times New Roman"/>
          <w:i/>
          <w:sz w:val="27"/>
          <w:szCs w:val="27"/>
        </w:rPr>
        <w:t xml:space="preserve">устанавливается на постоянной основе.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Действия: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1)Для организаций,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обратившихся в министерство с заявлением о выдаче/переоформление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я: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подача документов на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выдачу/переоформление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–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0,5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  <w:t xml:space="preserve">- присутствие при проведении выездной оценки </w:t>
      </w:r>
      <w:r>
        <w:rPr>
          <w:rFonts w:ascii="Times New Roman" w:hAnsi="Times New Roman"/>
          <w:i/>
          <w:sz w:val="27"/>
          <w:szCs w:val="27"/>
        </w:rPr>
        <w:t xml:space="preserve">соответствия заявителя лицензионным требованиям и (или) обязательным требованиям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– </w:t>
      </w:r>
      <w:r>
        <w:rPr>
          <w:rFonts w:ascii="Times New Roman" w:hAnsi="Times New Roman"/>
          <w:i/>
          <w:sz w:val="27"/>
          <w:szCs w:val="27"/>
        </w:rPr>
        <w:t xml:space="preserve">1</w:t>
      </w:r>
      <w:r>
        <w:rPr>
          <w:rFonts w:ascii="Times New Roman" w:hAnsi="Times New Roman"/>
          <w:i/>
          <w:sz w:val="27"/>
          <w:szCs w:val="27"/>
        </w:rPr>
        <w:t xml:space="preserve">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ознакомление и подписание акта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выездной оценки - 0,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получение решения об отказе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выдаче/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переоформлении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– 0,1 чел./час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.</w:t>
      </w:r>
      <w:r/>
    </w:p>
    <w:p>
      <w:pPr>
        <w:pStyle w:val="694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 w:val="0"/>
          <w:bCs/>
          <w:i/>
        </w:rPr>
      </w:pP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  <w:t xml:space="preserve">Итого:</w:t>
      </w:r>
      <w:r>
        <w:rPr>
          <w:rFonts w:ascii="Times New Roman" w:hAnsi="Times New Roman"/>
          <w:b/>
          <w:bCs/>
          <w:i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 xml:space="preserve">1,9 чел./часа</w:t>
      </w:r>
      <w:r>
        <w:rPr>
          <w:b w:val="0"/>
          <w:bCs w:val="0"/>
          <w:i/>
          <w:iCs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  <w:lang w:eastAsia="zh-CN"/>
        </w:rPr>
      </w:pPr>
      <w:r>
        <w:rPr>
          <w:rFonts w:ascii="Times New Roman" w:hAnsi="Times New Roman"/>
          <w:i/>
          <w:sz w:val="27"/>
          <w:szCs w:val="27"/>
          <w:highlight w:val="none"/>
          <w:lang w:eastAsia="zh-CN"/>
        </w:rPr>
      </w:r>
      <w:r>
        <w:rPr>
          <w:rFonts w:ascii="Times New Roman" w:hAnsi="Times New Roman"/>
          <w:i/>
          <w:sz w:val="27"/>
          <w:szCs w:val="27"/>
          <w:highlight w:val="none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highlight w:val="none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2)Для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организаций и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индивидуальных предпринимате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лей,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осуществляющих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- </w:t>
      </w:r>
      <w:r>
        <w:rPr>
          <w:rFonts w:ascii="Times New Roman" w:hAnsi="Times New Roman"/>
          <w:bCs/>
          <w:i/>
          <w:sz w:val="26"/>
          <w:szCs w:val="26"/>
        </w:rPr>
        <w:t xml:space="preserve">получение </w:t>
      </w:r>
      <w:r>
        <w:rPr>
          <w:rFonts w:ascii="Times New Roman" w:hAnsi="Times New Roman"/>
          <w:i/>
          <w:sz w:val="26"/>
          <w:szCs w:val="26"/>
        </w:rPr>
        <w:t xml:space="preserve">решения о проведении внеплановой выездной проверки в отделении Почта России</w:t>
      </w:r>
      <w:r>
        <w:rPr>
          <w:rFonts w:ascii="Times New Roman" w:hAnsi="Times New Roman"/>
          <w:bCs/>
          <w:i/>
          <w:sz w:val="26"/>
          <w:szCs w:val="26"/>
        </w:rPr>
        <w:t xml:space="preserve"> – 0,2 чел</w:t>
      </w:r>
      <w:r>
        <w:rPr>
          <w:rFonts w:ascii="Times New Roman" w:hAnsi="Times New Roman"/>
          <w:bCs/>
          <w:i/>
          <w:sz w:val="26"/>
          <w:szCs w:val="26"/>
        </w:rPr>
        <w:t xml:space="preserve">./час;</w:t>
      </w:r>
      <w:r/>
    </w:p>
    <w:p>
      <w:pPr>
        <w:pStyle w:val="694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>
        <w:rPr>
          <w:rFonts w:ascii="Times New Roman" w:hAnsi="Times New Roman"/>
          <w:i/>
          <w:sz w:val="26"/>
          <w:szCs w:val="26"/>
        </w:rPr>
        <w:t xml:space="preserve">присутствие контролируемого лица или его представителя при проведении внеплановой выездной проверки (осмотре) – 1 чел./час;</w:t>
      </w:r>
      <w:r/>
    </w:p>
    <w:p>
      <w:pPr>
        <w:pStyle w:val="694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-</w:t>
      </w:r>
      <w:r>
        <w:t xml:space="preserve"> </w:t>
      </w:r>
      <w:r>
        <w:rPr>
          <w:rFonts w:ascii="Times New Roman" w:hAnsi="Times New Roman"/>
          <w:bCs/>
          <w:i/>
          <w:sz w:val="26"/>
          <w:szCs w:val="26"/>
        </w:rPr>
        <w:t xml:space="preserve">ознакомление и подписание </w:t>
      </w:r>
      <w:r>
        <w:rPr>
          <w:rFonts w:ascii="Times New Roman" w:hAnsi="Times New Roman"/>
          <w:i/>
          <w:sz w:val="26"/>
          <w:szCs w:val="26"/>
        </w:rPr>
        <w:t xml:space="preserve">акта</w:t>
      </w:r>
      <w:bookmarkStart w:id="0" w:name="_GoBack"/>
      <w:r/>
      <w:bookmarkEnd w:id="0"/>
      <w:r>
        <w:rPr>
          <w:rFonts w:ascii="Times New Roman" w:hAnsi="Times New Roman"/>
          <w:i/>
          <w:sz w:val="26"/>
          <w:szCs w:val="26"/>
        </w:rPr>
        <w:t xml:space="preserve"> внеплановой выездной проверки</w:t>
      </w:r>
      <w:r>
        <w:rPr>
          <w:rFonts w:ascii="Times New Roman" w:hAnsi="Times New Roman"/>
          <w:i/>
          <w:sz w:val="26"/>
          <w:szCs w:val="26"/>
        </w:rPr>
        <w:t xml:space="preserve"> и пред</w:t>
      </w:r>
      <w:r>
        <w:rPr>
          <w:rFonts w:ascii="Times New Roman" w:hAnsi="Times New Roman"/>
          <w:i/>
          <w:sz w:val="26"/>
          <w:szCs w:val="26"/>
        </w:rPr>
        <w:t xml:space="preserve">писания</w:t>
      </w:r>
      <w:r>
        <w:rPr>
          <w:rFonts w:ascii="Times New Roman" w:hAnsi="Times New Roman"/>
          <w:i/>
          <w:sz w:val="26"/>
          <w:szCs w:val="26"/>
        </w:rPr>
        <w:t xml:space="preserve"> об устранении нарушений</w:t>
      </w:r>
      <w:r>
        <w:rPr>
          <w:rFonts w:ascii="Times New Roman" w:hAnsi="Times New Roman"/>
          <w:i/>
          <w:sz w:val="26"/>
          <w:szCs w:val="26"/>
        </w:rPr>
        <w:t xml:space="preserve"> – 0,2 чел./час.</w:t>
      </w:r>
      <w:r/>
    </w:p>
    <w:p>
      <w:pPr>
        <w:pStyle w:val="694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bCs/>
          <w:i w:val="0"/>
          <w:sz w:val="26"/>
          <w:szCs w:val="26"/>
        </w:rPr>
      </w:pP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  <w:t xml:space="preserve">Итого: </w:t>
      </w:r>
      <w:r>
        <w:rPr>
          <w:rFonts w:ascii="Times New Roman" w:hAnsi="Times New Roman"/>
          <w:b w:val="0"/>
          <w:bCs w:val="0"/>
          <w:i/>
          <w:iCs/>
          <w:sz w:val="26"/>
          <w:szCs w:val="26"/>
        </w:rPr>
        <w:t xml:space="preserve">1,4 чел./часа</w:t>
      </w: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Список приобретений: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i/>
          <w:sz w:val="27"/>
          <w:szCs w:val="27"/>
          <w:lang w:eastAsia="ru-RU"/>
        </w:rPr>
        <w:t xml:space="preserve">Не имеется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Общая стоимость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На территории Белгородской области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29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организаци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и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имеют</w:t>
      </w:r>
      <w:r>
        <w:rPr>
          <w:rFonts w:ascii="Times New Roman" w:hAnsi="Times New Roman"/>
          <w:bCs/>
          <w:i/>
          <w:sz w:val="27"/>
          <w:szCs w:val="27"/>
        </w:rPr>
        <w:t xml:space="preserve"> </w:t>
      </w:r>
      <w:r>
        <w:rPr>
          <w:rFonts w:ascii="Times New Roman" w:hAnsi="Times New Roman"/>
          <w:bCs/>
          <w:i/>
          <w:sz w:val="27"/>
          <w:szCs w:val="27"/>
        </w:rPr>
        <w:t xml:space="preserve">лицензию</w:t>
      </w:r>
      <w:r>
        <w:rPr>
          <w:rFonts w:ascii="Times New Roman" w:hAnsi="Times New Roman"/>
          <w:bCs/>
          <w:i/>
          <w:sz w:val="27"/>
          <w:szCs w:val="27"/>
        </w:rPr>
        <w:t xml:space="preserve">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и 2192 организации и индивидуальных предпринимателя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осуществляю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т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54 581 руб.</w:t>
      </w:r>
      <w:r/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310,12 руб.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(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54 581/22 рабочих дня/ 8 рабочих часов).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  <w:t xml:space="preserve">1.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Для организаций, обратившихся в министерство с заявлением о выдаче/переоформление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я:</w:t>
      </w:r>
      <w:r/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1) В случае подачи заявления на переоформление лицензии </w:t>
      </w:r>
      <w:r>
        <w:rPr>
          <w:rFonts w:ascii="Times New Roman" w:hAnsi="Times New Roman"/>
          <w:bCs/>
          <w:i/>
          <w:sz w:val="27"/>
          <w:szCs w:val="27"/>
        </w:rPr>
        <w:t xml:space="preserve">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в связи с добавлением обособленного подразделения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Государственная пошлина за переоформление лицензии в соответствии с </w:t>
      </w:r>
      <w:r>
        <w:rPr>
          <w:rFonts w:ascii="Times New Roman" w:hAnsi="Times New Roman"/>
          <w:b/>
          <w:bCs/>
          <w:iCs/>
          <w:sz w:val="27"/>
          <w:szCs w:val="27"/>
          <w:lang w:eastAsia="zh-CN"/>
        </w:rPr>
        <w:t xml:space="preserve">подпунктом 94 пункта 1 статьи 333.33 НК РФ</w:t>
      </w:r>
      <w:r>
        <w:rPr>
          <w:rFonts w:ascii="Times New Roman" w:hAnsi="Times New Roman"/>
          <w:b/>
          <w:bCs/>
          <w:sz w:val="27"/>
          <w:szCs w:val="27"/>
          <w:lang w:eastAsia="zh-CN"/>
        </w:rPr>
        <w:t xml:space="preserve">: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3500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Упущенная выгода (выручка)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организаций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 за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переоформлением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 составит: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(310,12 руб. * 1,9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 + 3500 руб. пошлина) * 29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 198,14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2)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В случае подачи заявления на выдачу лицензии</w:t>
      </w:r>
      <w:r>
        <w:rPr>
          <w:rFonts w:ascii="Times New Roman" w:hAnsi="Times New Roman"/>
          <w:bCs/>
          <w:i/>
          <w:sz w:val="27"/>
          <w:szCs w:val="27"/>
        </w:rPr>
        <w:t xml:space="preserve">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Государственная пошлина за 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выдачу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 лицензии в соответствии с </w:t>
      </w:r>
      <w:r>
        <w:rPr>
          <w:rFonts w:ascii="Times New Roman" w:hAnsi="Times New Roman"/>
          <w:b/>
          <w:bCs/>
          <w:iCs/>
          <w:sz w:val="27"/>
          <w:szCs w:val="27"/>
          <w:lang w:eastAsia="zh-CN"/>
        </w:rPr>
        <w:t xml:space="preserve">подпунктом 94 пункта 1 статьи 333.33 НК РФ</w:t>
      </w:r>
      <w:r>
        <w:rPr>
          <w:rFonts w:ascii="Times New Roman" w:hAnsi="Times New Roman"/>
          <w:b/>
          <w:bCs/>
          <w:sz w:val="27"/>
          <w:szCs w:val="27"/>
          <w:lang w:eastAsia="zh-CN"/>
        </w:rPr>
        <w:t xml:space="preserve">: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6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5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0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00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Затраты организаций,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 за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выдачей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опасности, составят: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  <w:highlight w:val="none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(310,12 руб. * 1,9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 +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650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00 руб. пошлина) * 29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19 217,64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</w:rPr>
      </w:pPr>
      <w:r>
        <w:rPr>
          <w:rFonts w:ascii="Times New Roman" w:hAnsi="Times New Roman"/>
          <w:i/>
          <w:color w:val="000000"/>
          <w:sz w:val="27"/>
          <w:szCs w:val="27"/>
          <w:highlight w:val="none"/>
          <w:shd w:val="clear" w:color="auto" w:fill="ffffff"/>
        </w:rPr>
      </w:r>
      <w:r>
        <w:rPr>
          <w:rFonts w:ascii="Times New Roman" w:hAnsi="Times New Roman"/>
          <w:i/>
          <w:color w:val="000000"/>
          <w:sz w:val="27"/>
          <w:szCs w:val="27"/>
          <w:highlight w:val="none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6"/>
          <w:szCs w:val="26"/>
          <w:highlight w:val="none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2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.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Для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организаций и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индивидуальных </w:t>
      </w:r>
      <w:r>
        <w:rPr>
          <w:rFonts w:ascii="Times New Roman" w:hAnsi="Times New Roman"/>
          <w:i/>
          <w:iCs/>
          <w:sz w:val="26"/>
          <w:szCs w:val="26"/>
          <w:lang w:eastAsia="zh-CN"/>
        </w:rPr>
        <w:t xml:space="preserve">предпринимате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лей, осуществляющих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iCs/>
          <w:sz w:val="26"/>
          <w:szCs w:val="26"/>
          <w:lang w:eastAsia="zh-CN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(310,12 руб. * 1,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4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.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) * 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192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951,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69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70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82"/>
    <w:link w:val="696"/>
    <w:uiPriority w:val="10"/>
    <w:rPr>
      <w:sz w:val="48"/>
      <w:szCs w:val="48"/>
    </w:rPr>
  </w:style>
  <w:style w:type="character" w:styleId="36">
    <w:name w:val="Subtitle Char"/>
    <w:basedOn w:val="682"/>
    <w:link w:val="698"/>
    <w:uiPriority w:val="11"/>
    <w:rPr>
      <w:sz w:val="24"/>
      <w:szCs w:val="24"/>
    </w:rPr>
  </w:style>
  <w:style w:type="character" w:styleId="38">
    <w:name w:val="Quote Char"/>
    <w:link w:val="700"/>
    <w:uiPriority w:val="29"/>
    <w:rPr>
      <w:i/>
    </w:rPr>
  </w:style>
  <w:style w:type="character" w:styleId="40">
    <w:name w:val="Intense Quote Char"/>
    <w:link w:val="702"/>
    <w:uiPriority w:val="30"/>
    <w:rPr>
      <w:i/>
    </w:rPr>
  </w:style>
  <w:style w:type="character" w:styleId="175">
    <w:name w:val="Footnote Text Char"/>
    <w:link w:val="837"/>
    <w:uiPriority w:val="99"/>
    <w:rPr>
      <w:sz w:val="18"/>
    </w:rPr>
  </w:style>
  <w:style w:type="character" w:styleId="178">
    <w:name w:val="Endnote Text Char"/>
    <w:link w:val="840"/>
    <w:uiPriority w:val="99"/>
    <w:rPr>
      <w:sz w:val="20"/>
    </w:rPr>
  </w:style>
  <w:style w:type="paragraph" w:styleId="672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rPr>
      <w:lang w:eastAsia="zh-CN"/>
    </w:r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85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05" w:customStyle="1">
    <w:name w:val="Header Char"/>
    <w:uiPriority w:val="99"/>
  </w:style>
  <w:style w:type="paragraph" w:styleId="706">
    <w:name w:val="Footer"/>
    <w:basedOn w:val="672"/>
    <w:link w:val="85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07" w:customStyle="1">
    <w:name w:val="Footer Char"/>
    <w:uiPriority w:val="99"/>
  </w:style>
  <w:style w:type="paragraph" w:styleId="708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3"/>
    <w:uiPriority w:val="39"/>
    <w:tblPr/>
  </w:style>
  <w:style w:type="table" w:styleId="71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6">
    <w:name w:val="Hyperlink"/>
    <w:uiPriority w:val="99"/>
    <w:semiHidden/>
    <w:unhideWhenUsed/>
    <w:rPr>
      <w:color w:val="0000ff"/>
      <w:u w:val="single"/>
    </w:rPr>
  </w:style>
  <w:style w:type="paragraph" w:styleId="837">
    <w:name w:val="footnote text"/>
    <w:basedOn w:val="672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672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672"/>
    <w:next w:val="672"/>
    <w:uiPriority w:val="39"/>
    <w:unhideWhenUsed/>
    <w:pPr>
      <w:spacing w:after="57"/>
    </w:pPr>
  </w:style>
  <w:style w:type="paragraph" w:styleId="844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5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6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7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8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9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0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1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  <w:rPr>
      <w:lang w:eastAsia="zh-CN"/>
    </w:rPr>
  </w:style>
  <w:style w:type="paragraph" w:styleId="853">
    <w:name w:val="table of figures"/>
    <w:basedOn w:val="672"/>
    <w:next w:val="672"/>
    <w:uiPriority w:val="99"/>
    <w:unhideWhenUsed/>
    <w:pPr>
      <w:spacing w:after="0"/>
    </w:pPr>
  </w:style>
  <w:style w:type="paragraph" w:styleId="854">
    <w:name w:val="Balloon Text"/>
    <w:basedOn w:val="672"/>
    <w:link w:val="855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55" w:customStyle="1">
    <w:name w:val="Текст выноски Знак"/>
    <w:link w:val="854"/>
    <w:uiPriority w:val="99"/>
    <w:semiHidden/>
    <w:rPr>
      <w:rFonts w:ascii="Segoe UI" w:hAnsi="Segoe UI" w:cs="Segoe UI"/>
      <w:sz w:val="18"/>
      <w:szCs w:val="18"/>
    </w:rPr>
  </w:style>
  <w:style w:type="paragraph" w:styleId="856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57">
    <w:name w:val="Emphasis"/>
    <w:uiPriority w:val="20"/>
    <w:qFormat/>
    <w:rPr>
      <w:i/>
      <w:iCs/>
    </w:rPr>
  </w:style>
  <w:style w:type="character" w:styleId="858" w:customStyle="1">
    <w:name w:val="Верхний колонтитул Знак"/>
    <w:link w:val="704"/>
    <w:uiPriority w:val="99"/>
    <w:rPr>
      <w:sz w:val="22"/>
      <w:szCs w:val="22"/>
      <w:lang w:eastAsia="en-US"/>
    </w:rPr>
  </w:style>
  <w:style w:type="character" w:styleId="859" w:customStyle="1">
    <w:name w:val="Нижний колонтитул Знак"/>
    <w:link w:val="706"/>
    <w:uiPriority w:val="99"/>
    <w:rPr>
      <w:sz w:val="22"/>
      <w:szCs w:val="22"/>
      <w:lang w:eastAsia="en-US"/>
    </w:rPr>
  </w:style>
  <w:style w:type="character" w:styleId="860" w:customStyle="1">
    <w:name w:val="s_10"/>
    <w:basedOn w:val="682"/>
  </w:style>
  <w:style w:type="character" w:styleId="861" w:customStyle="1">
    <w:name w:val="apple-converted-space"/>
    <w:basedOn w:val="682"/>
  </w:style>
  <w:style w:type="paragraph" w:styleId="862" w:customStyle="1">
    <w:name w:val="1"/>
    <w:basedOn w:val="672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63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51</cp:revision>
  <dcterms:created xsi:type="dcterms:W3CDTF">2022-12-23T09:10:00Z</dcterms:created>
  <dcterms:modified xsi:type="dcterms:W3CDTF">2024-03-06T07:46:09Z</dcterms:modified>
  <cp:version>983040</cp:version>
</cp:coreProperties>
</file>