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Расчет затрат на соблюдение установленного обязательного требования</w:t>
      </w:r>
      <w:r>
        <w:rPr>
          <w:rFonts w:ascii="Times New Roman" w:hAnsi="Times New Roman" w:eastAsia="Times New Roman"/>
          <w:b/>
          <w:bCs/>
          <w:sz w:val="32"/>
          <w:szCs w:val="32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Название требования: </w:t>
      </w:r>
      <w:r/>
    </w:p>
    <w:p>
      <w:pPr>
        <w:ind w:firstLine="708"/>
        <w:jc w:val="both"/>
        <w:rPr>
          <w:rFonts w:hint="default"/>
          <w:lang w:val="en-US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Уст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ановление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 расстояния от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вход</w:t>
      </w:r>
      <w:r>
        <w:rPr>
          <w:rFonts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а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для покупателей (потребителей) </w:t>
      </w:r>
      <w:r>
        <w:rPr>
          <w:rFonts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в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торговы</w:t>
      </w:r>
      <w:r>
        <w:rPr>
          <w:rFonts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е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ы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, расположенны</w:t>
      </w:r>
      <w:r>
        <w:rPr>
          <w:rFonts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е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в многоквартирных жилых домах, общежитиях, в пристроенных, встроенных, встроенно-пристроенных помещениях к многоквартирным жилым домам, общежития</w:t>
      </w:r>
      <w:r>
        <w:rPr>
          <w:rFonts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м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до ограждения детской игровой (спортивной) площадки, а при отсутствии такого ограждения – до ближайшего элемента оборудования детской игровой (спортивной) площадки и (или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)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до входа в ближайший подъезд данного многоквартирного жилого дома, общежития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 - 40 метров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.</w:t>
      </w:r>
      <w:r/>
    </w:p>
    <w:p>
      <w:pPr>
        <w:ind w:firstLine="567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Условие возникновения требования: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Дополнительное регулирование розничной продажи алкогольной продукции на территории Белгородской области в соответствии с правом устанавливать дополнительные </w:t>
      </w:r>
      <w:r>
        <w:fldChar w:fldCharType="begin"/>
      </w:r>
      <w:r>
        <w:instrText xml:space="preserve"> HYPERLINK "consultantplus://offline/ref=EDE321C9382906F26B545A4CD113F9B5EEC51573B6E7B17283A4D4460144FC5ABB5B895C4F81FB09B9CFC7356Eu7rAH" </w:instrText>
      </w:r>
      <w:r>
        <w:fldChar w:fldCharType="separate"/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ограничения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времени, условий и мест розничной продажи алкогольной продукции, предоставленным органам государственной власти субъектов Р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оссийской Федерации статьей 16 Федерального закона от 22 ноября 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Тип требования: 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Запрет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розничн</w:t>
      </w:r>
      <w:r>
        <w:rPr>
          <w:rFonts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ой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продаж</w:t>
      </w:r>
      <w:r>
        <w:rPr>
          <w:rFonts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и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алкогольной продукции в нежилых помещениях (торговых объектах), расположенных в многоквартирных жи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лых домах, общежитиях, в пристроенных, встроенных, встроенно-пристроенных помещениях к многоквартирным жилым домам, общежитиям, вход в которые для покупателей (потребителей) находится на расстоянии менее 40 метров от детской игровой (спортивной) площадки и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 (или)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от ближайшего подъезда данного многоквартирного жилого дома, общежития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Масштаб: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В настоящее время на территории Белгородской области розничную продажу алкогольной продукции осуществляют 5105 торговых объектов, из которых: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br/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- организаций имеющих лицензию на розничную продажу алкогольной продукции - 2004 торговых объекта; 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br/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- индивидуальных предпринимателей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,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 осуществляющих розничную продажу пива, пивных напитков, сидра, пуаре, медовухи – 3101 торговый объект.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br/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ab/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По</w:t>
      </w:r>
      <w:r>
        <w:rPr>
          <w:rFonts w:hint="default" w:ascii="Times New Roman" w:hAnsi="Times New Roman" w:eastAsia="Times New Roman"/>
          <w:i/>
          <w:sz w:val="28"/>
          <w:szCs w:val="28"/>
          <w:lang w:val="en-US" w:eastAsia="ru-RU"/>
        </w:rPr>
        <w:t xml:space="preserve"> оценочным данным в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нежилых помещениях (торговых объектах), расположенных в многоквартирных жилых домах, общежитиях, в пристроенных, встроенны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х, встроенно-пристроенных помещениях к многоквартирным жилым домам, общежитиям, вход в которые для покупателей (потребителей) находится на расстоянии менее 40 метров от ограждения детской игровой (спортивной) площадки, а при отсутствии такого ограждения – </w:t>
      </w:r>
      <w:r>
        <w:rPr>
          <w:rFonts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от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ближайшего элемента оборудования детской игровой (спортивной) площадки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осуществляют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 розничную продажу алкогольной продукции: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- 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29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организаци</w:t>
      </w:r>
      <w:r>
        <w:rPr>
          <w:rFonts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й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,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имеющих лицензию на розничную продажу алкогольной продукции;</w:t>
      </w:r>
      <w:r/>
    </w:p>
    <w:p>
      <w:pPr>
        <w:ind w:firstLine="567"/>
        <w:jc w:val="both"/>
        <w:spacing w:after="0" w:line="240" w:lineRule="auto"/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- 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30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индивидуальных предпринимателей, осуществляющих розничную продажу пива, пивных напитков, сидра, пуаре, медовухи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.</w:t>
      </w:r>
      <w:r/>
    </w:p>
    <w:p>
      <w:pPr>
        <w:ind w:firstLine="567"/>
        <w:jc w:val="both"/>
        <w:spacing w:after="0" w:line="240" w:lineRule="auto"/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Также </w:t>
      </w:r>
      <w:r>
        <w:rPr>
          <w:rFonts w:hint="default" w:ascii="Times New Roman" w:hAnsi="Times New Roman" w:eastAsia="Times New Roman"/>
          <w:i/>
          <w:sz w:val="28"/>
          <w:szCs w:val="28"/>
          <w:lang w:val="en-US" w:eastAsia="ru-RU"/>
        </w:rPr>
        <w:t xml:space="preserve">в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нежилых помещениях (торговых объектах), расположенных в многоквартирных жилых домах, общежитиях, в пристроен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ных, встроенных, встроенно-пристроенных помещениях к многоквартирным жилым домам, общежитиям, вход в которые для покупателей (потребителей) находится на расстоянии менее 40 метров от входа в ближайший подъезд данного многоквартирного жилого дома, общежития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осуществляют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 розничную продажу алкогольной продукции: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- 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1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3 организаци</w:t>
      </w:r>
      <w:r>
        <w:rPr>
          <w:rFonts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й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,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имеющих лицензию на розничную продажу алкогольной продукции;</w:t>
      </w:r>
      <w:r/>
    </w:p>
    <w:p>
      <w:pPr>
        <w:ind w:firstLine="567"/>
        <w:jc w:val="both"/>
        <w:spacing w:after="0" w:line="240" w:lineRule="auto"/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- 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15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индивидуальных предпринимателей, осуществляющих розничную продажу пива, пивных напитков, сидра, пуаре, медовухи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.</w:t>
      </w:r>
      <w:r/>
    </w:p>
    <w:p>
      <w:pPr>
        <w:ind w:firstLine="567"/>
        <w:jc w:val="both"/>
        <w:spacing w:after="0" w:line="240" w:lineRule="auto"/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Всего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 87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торговых объектов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 (42 торговых объектов,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имеющих лицензию на розничную продажу алкогольной продукции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 и 45 торговых объектов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индивидуальных предпринимателей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)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, осуществляющих розничную продажу пива, пивных напитков, сидра, пуаре, медовухи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)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подпадают под предполагаемые ограничения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, что составляет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1,7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 %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от общ</w:t>
      </w:r>
      <w:r>
        <w:rPr>
          <w:rFonts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его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 числа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торговых объектов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 (5 105),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осуществляющих розничную продажу алкогольной продукции на территории Белгородской области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.</w:t>
      </w:r>
      <w:r/>
    </w:p>
    <w:p>
      <w:pPr>
        <w:ind w:firstLine="567"/>
        <w:jc w:val="both"/>
        <w:spacing w:after="0" w:line="240" w:lineRule="auto"/>
        <w:rPr>
          <w:rFonts w:hint="default" w:ascii="Times New Roman" w:hAnsi="Times New Roman"/>
          <w:i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Исходя их того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, </w:t>
      </w:r>
      <w:r>
        <w:rPr>
          <w:rFonts w:ascii="Times New Roman" w:hAnsi="Times New Roman" w:eastAsia="SimSun"/>
          <w:i/>
          <w:sz w:val="28"/>
          <w:szCs w:val="28"/>
        </w:rPr>
        <w:t xml:space="preserve">что в настоящее время запрет розничной</w:t>
      </w:r>
      <w:r>
        <w:rPr>
          <w:rFonts w:ascii="Times New Roman" w:hAnsi="Times New Roman"/>
          <w:i/>
          <w:sz w:val="28"/>
          <w:szCs w:val="28"/>
        </w:rPr>
        <w:t xml:space="preserve"> продажи алкогольной продукции на территории Белгородской области</w:t>
      </w:r>
      <w:r>
        <w:rPr>
          <w:rFonts w:hint="default"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установлен с 22.00 до 10.00 часов, 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то</w:t>
      </w:r>
      <w:r>
        <w:rPr>
          <w:rFonts w:hint="default" w:ascii="Times New Roman" w:hAnsi="Times New Roman"/>
          <w:i/>
          <w:sz w:val="28"/>
          <w:szCs w:val="28"/>
          <w:lang w:val="ru-RU"/>
        </w:rPr>
        <w:t xml:space="preserve"> время работы для торговых объектов, осуществляющих розничную продажу алкогольной продукции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 составляет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 12 часов.</w:t>
      </w:r>
      <w:r/>
    </w:p>
    <w:p>
      <w:pPr>
        <w:ind w:firstLine="567"/>
        <w:jc w:val="both"/>
        <w:spacing w:after="0" w:line="240" w:lineRule="auto"/>
        <w:rPr>
          <w:rFonts w:hint="default" w:ascii="Times New Roman" w:hAnsi="Times New Roman" w:eastAsia="SimSun"/>
          <w:i/>
          <w:sz w:val="28"/>
          <w:szCs w:val="28"/>
          <w:lang w:val="en-US"/>
        </w:rPr>
      </w:pPr>
      <w:r>
        <w:rPr>
          <w:rFonts w:ascii="Times New Roman" w:hAnsi="Times New Roman" w:eastAsia="SimSun"/>
          <w:i/>
          <w:sz w:val="28"/>
          <w:szCs w:val="28"/>
        </w:rPr>
        <w:t xml:space="preserve">Учитывая,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что</w:t>
      </w:r>
      <w:r>
        <w:rPr>
          <w:rFonts w:hint="default" w:ascii="Times New Roman" w:hAnsi="Times New Roman" w:eastAsia="Times New Roman"/>
          <w:i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 87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торговых объектов, осуществляющие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 розничную продажу алкогольной продукции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подпадают под предполагаемые ограничения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, то 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для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 таких торговых объектов действует полный запрет розничной продажи алкогольной продукции.</w:t>
      </w:r>
      <w:r/>
    </w:p>
    <w:p>
      <w:pPr>
        <w:ind w:firstLine="567"/>
        <w:jc w:val="both"/>
        <w:spacing w:after="0" w:line="240" w:lineRule="auto"/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Так, по данным Единой г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осударственной автоматизированной информационный системы учета объема производства и оборота этилового спирта, алкогольной и спиртосодержащей продукции (далее - ЕГАИС) на территории Белгородской области в период с 21.02.2026 г. по 20.03.2026 гг. (1 месяц):</w:t>
      </w:r>
      <w:r/>
    </w:p>
    <w:p>
      <w:pPr>
        <w:ind w:firstLine="567"/>
        <w:jc w:val="both"/>
        <w:spacing w:after="0" w:line="240" w:lineRule="auto"/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 Объем розничной продажи алкогольной продукции составил:</w:t>
      </w:r>
      <w:r/>
    </w:p>
    <w:p>
      <w:pPr>
        <w:ind w:firstLine="567"/>
        <w:jc w:val="both"/>
        <w:spacing w:after="0" w:line="240" w:lineRule="auto"/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- крепкой алкогольной продукции  (по всем видам продукции) - 1 114 874 литра;</w:t>
      </w:r>
      <w:r/>
    </w:p>
    <w:p>
      <w:pPr>
        <w:ind w:firstLine="567"/>
        <w:jc w:val="both"/>
        <w:spacing w:after="0" w:line="240" w:lineRule="auto"/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- пива, пивных напитков, сидра, пуаре, медовухи - 4 658 061 литра.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br/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ab/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Средняя розничная цена за 1 литр алкогольной продукции:</w:t>
      </w:r>
      <w:r/>
    </w:p>
    <w:p>
      <w:pPr>
        <w:ind w:firstLine="708"/>
        <w:jc w:val="both"/>
        <w:spacing w:after="0" w:line="240" w:lineRule="auto"/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- крепкой алкогольной продукции (по всем видам продукции) - 1 202 рублей;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br/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ab/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- пива, пивных напитков, сидра, пуаре, медовухи  - 202 рубля.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br/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Таким образом, в среднем 1 торговый объект за 1  рабочий день (12 часов) реализует:</w:t>
      </w:r>
      <w:r/>
    </w:p>
    <w:p>
      <w:pPr>
        <w:ind w:firstLine="708"/>
        <w:jc w:val="both"/>
        <w:spacing w:after="0" w:line="240" w:lineRule="auto"/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организации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,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 имеющие лицензию на розничную продажу алкогольной продукции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 - 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18,5 литра крепкой алкогольной продукции;</w:t>
      </w:r>
      <w:r/>
    </w:p>
    <w:p>
      <w:pPr>
        <w:ind w:firstLine="708"/>
        <w:jc w:val="both"/>
        <w:spacing w:after="0" w:line="240" w:lineRule="auto"/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организации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 и 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индивидуальные предприниматели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,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 осуществляющие розничную продажу пива, пивных напитков, сидра, пуаре, медовухи 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-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 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30,4 литра пива, пивных напитков, сидра, пуаре, медовухи.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/>
      <w:bookmarkStart w:id="0" w:name="_GoBack"/>
      <w:r/>
      <w:bookmarkEnd w:id="0"/>
      <w:r/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Частота: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Запрет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розничн</w:t>
      </w:r>
      <w:r>
        <w:rPr>
          <w:rFonts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ой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продаж</w:t>
      </w:r>
      <w:r>
        <w:rPr>
          <w:rFonts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и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алкогольной продукции в нежилых помещениях (торговых объектах), расположенных в многоквартирных жи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лых домах, общежитиях, в пристроенных, встроенных, встроенно-пристроенных помещениях к многоквартирным жилым домам, общежитиям, вход в которые для покупателей (потребителей) находится на расстоянии менее 40 метров от детской игровой (спортивной) площадки и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 (или)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от ближайшего подъезда данного многоквартирного жилого дома, общежития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i/>
          <w:sz w:val="27"/>
          <w:szCs w:val="27"/>
        </w:rPr>
        <w:t xml:space="preserve">устанавливается</w:t>
      </w:r>
      <w:r>
        <w:rPr>
          <w:rFonts w:hint="default" w:ascii="Times New Roman" w:hAnsi="Times New Roman"/>
          <w:i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i/>
          <w:sz w:val="27"/>
          <w:szCs w:val="27"/>
        </w:rPr>
        <w:t xml:space="preserve">на постоянной основе.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Общая стоимость требования: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Упущенная выгода (выручка) хозяйствующих субъектов, попадающих в зону действия ограничений: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Times New Roman"/>
          <w:i/>
          <w:spacing w:val="-6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- для организаций</w:t>
      </w:r>
      <w:r>
        <w:rPr>
          <w:rFonts w:hint="default" w:ascii="Times New Roman" w:hAnsi="Times New Roman" w:eastAsia="Times New Roman"/>
          <w:i/>
          <w:spacing w:val="-6"/>
          <w:sz w:val="28"/>
          <w:szCs w:val="28"/>
          <w:lang w:val="en-US" w:eastAsia="ru-RU"/>
        </w:rPr>
        <w:t xml:space="preserve">,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 реализующих крепкую</w:t>
      </w:r>
      <w:r>
        <w:rPr>
          <w:rFonts w:hint="default" w:ascii="Times New Roman" w:hAnsi="Times New Roman" w:eastAsia="Times New Roman"/>
          <w:i/>
          <w:spacing w:val="-6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алкогольную продукцию</w:t>
      </w:r>
      <w:r>
        <w:rPr>
          <w:rFonts w:hint="default" w:ascii="Times New Roman" w:hAnsi="Times New Roman" w:eastAsia="Times New Roman"/>
          <w:i/>
          <w:spacing w:val="-6"/>
          <w:sz w:val="28"/>
          <w:szCs w:val="28"/>
          <w:lang w:val="en-US" w:eastAsia="ru-RU"/>
        </w:rPr>
        <w:t xml:space="preserve"> на основании лицензии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br/>
      </w:r>
      <w:r>
        <w:rPr>
          <w:rFonts w:hint="default" w:ascii="Times New Roman" w:hAnsi="Times New Roman" w:eastAsia="Times New Roman"/>
          <w:i/>
          <w:spacing w:val="-6"/>
          <w:sz w:val="28"/>
          <w:szCs w:val="28"/>
          <w:lang w:val="en-US" w:eastAsia="ru-RU"/>
        </w:rPr>
        <w:tab/>
      </w:r>
      <w:r>
        <w:rPr>
          <w:rFonts w:hint="default" w:ascii="Times New Roman" w:hAnsi="Times New Roman" w:eastAsia="Times New Roman"/>
          <w:i/>
          <w:spacing w:val="-6"/>
          <w:sz w:val="28"/>
          <w:szCs w:val="28"/>
          <w:lang w:val="en-US" w:eastAsia="ru-RU"/>
        </w:rPr>
        <w:t xml:space="preserve">18,5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 л. * </w:t>
      </w:r>
      <w:r>
        <w:rPr>
          <w:rFonts w:hint="default" w:ascii="Times New Roman" w:hAnsi="Times New Roman" w:eastAsia="Times New Roman"/>
          <w:i/>
          <w:spacing w:val="-6"/>
          <w:sz w:val="28"/>
          <w:szCs w:val="28"/>
          <w:lang w:val="en-US" w:eastAsia="ru-RU"/>
        </w:rPr>
        <w:t xml:space="preserve">1 202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 руб. * 30 дн * </w:t>
      </w:r>
      <w:r>
        <w:rPr>
          <w:rFonts w:hint="default" w:ascii="Times New Roman" w:hAnsi="Times New Roman" w:eastAsia="Times New Roman"/>
          <w:i/>
          <w:spacing w:val="-6"/>
          <w:sz w:val="28"/>
          <w:szCs w:val="28"/>
          <w:lang w:val="en-US" w:eastAsia="ru-RU"/>
        </w:rPr>
        <w:t xml:space="preserve">42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 хозяйствующих субъектов = </w:t>
      </w:r>
      <w:r>
        <w:rPr>
          <w:rFonts w:hint="default" w:ascii="Times New Roman" w:hAnsi="Times New Roman" w:eastAsia="Times New Roman"/>
          <w:i/>
          <w:spacing w:val="-6"/>
          <w:sz w:val="28"/>
          <w:szCs w:val="28"/>
          <w:lang w:val="en-US" w:eastAsia="ru-RU"/>
        </w:rPr>
        <w:t xml:space="preserve">28 018,6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 тыс. руб. в месяц;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br/>
      </w:r>
      <w:r>
        <w:rPr>
          <w:rFonts w:hint="default" w:ascii="Times New Roman" w:hAnsi="Times New Roman" w:eastAsia="Times New Roman"/>
          <w:i/>
          <w:spacing w:val="-6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- для организаций</w:t>
      </w:r>
      <w:r>
        <w:rPr>
          <w:rFonts w:hint="default" w:ascii="Times New Roman" w:hAnsi="Times New Roman" w:eastAsia="Times New Roman"/>
          <w:i/>
          <w:spacing w:val="-6"/>
          <w:sz w:val="28"/>
          <w:szCs w:val="28"/>
          <w:lang w:val="en-US" w:eastAsia="ru-RU"/>
        </w:rPr>
        <w:t xml:space="preserve"> и 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индивидуальных предпринимателей, реализующих пиво и пивные напитки: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br/>
      </w:r>
      <w:r>
        <w:rPr>
          <w:rFonts w:hint="default" w:ascii="Times New Roman" w:hAnsi="Times New Roman" w:eastAsia="Times New Roman"/>
          <w:i/>
          <w:spacing w:val="-6"/>
          <w:sz w:val="28"/>
          <w:szCs w:val="28"/>
          <w:lang w:val="en-US" w:eastAsia="ru-RU"/>
        </w:rPr>
        <w:tab/>
      </w:r>
      <w:r>
        <w:rPr>
          <w:rFonts w:hint="default" w:ascii="Times New Roman" w:hAnsi="Times New Roman" w:eastAsia="Times New Roman"/>
          <w:i/>
          <w:spacing w:val="-6"/>
          <w:sz w:val="28"/>
          <w:szCs w:val="28"/>
          <w:lang w:val="en-US" w:eastAsia="ru-RU"/>
        </w:rPr>
        <w:t xml:space="preserve">30,4 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л. * </w:t>
      </w:r>
      <w:r>
        <w:rPr>
          <w:rFonts w:hint="default" w:ascii="Times New Roman" w:hAnsi="Times New Roman" w:eastAsia="Times New Roman"/>
          <w:i/>
          <w:spacing w:val="-6"/>
          <w:sz w:val="28"/>
          <w:szCs w:val="28"/>
          <w:lang w:val="en-US" w:eastAsia="ru-RU"/>
        </w:rPr>
        <w:t xml:space="preserve">202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 руб. * 30 дн * </w:t>
      </w:r>
      <w:r>
        <w:rPr>
          <w:rFonts w:hint="default" w:ascii="Times New Roman" w:hAnsi="Times New Roman" w:eastAsia="Times New Roman"/>
          <w:i/>
          <w:spacing w:val="-6"/>
          <w:sz w:val="28"/>
          <w:szCs w:val="28"/>
          <w:lang w:val="en-US" w:eastAsia="ru-RU"/>
        </w:rPr>
        <w:t xml:space="preserve">87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 хозяйствующих субъектов = </w:t>
      </w:r>
      <w:r>
        <w:rPr>
          <w:rFonts w:hint="default" w:ascii="Times New Roman" w:hAnsi="Times New Roman" w:eastAsia="Times New Roman"/>
          <w:i/>
          <w:spacing w:val="-6"/>
          <w:sz w:val="28"/>
          <w:szCs w:val="28"/>
          <w:lang w:val="en-US" w:eastAsia="ru-RU"/>
        </w:rPr>
        <w:t xml:space="preserve">16 027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,</w:t>
      </w:r>
      <w:r>
        <w:rPr>
          <w:rFonts w:hint="default" w:ascii="Times New Roman" w:hAnsi="Times New Roman" w:eastAsia="Times New Roman"/>
          <w:i/>
          <w:spacing w:val="-6"/>
          <w:sz w:val="28"/>
          <w:szCs w:val="28"/>
          <w:lang w:val="en-US" w:eastAsia="ru-RU"/>
        </w:rPr>
        <w:t xml:space="preserve">5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 тыс. руб. в месяц</w:t>
      </w:r>
      <w:r>
        <w:rPr>
          <w:rFonts w:hint="default" w:ascii="Times New Roman" w:hAnsi="Times New Roman" w:eastAsia="Times New Roman"/>
          <w:i/>
          <w:spacing w:val="-6"/>
          <w:sz w:val="28"/>
          <w:szCs w:val="28"/>
          <w:lang w:val="en-US"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Times New Roman"/>
          <w:i/>
          <w:spacing w:val="-6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Общая упущенная выгода для</w:t>
      </w:r>
      <w:r>
        <w:rPr>
          <w:rFonts w:hint="default" w:ascii="Times New Roman" w:hAnsi="Times New Roman" w:eastAsia="Times New Roman"/>
          <w:i/>
          <w:spacing w:val="-6"/>
          <w:sz w:val="28"/>
          <w:szCs w:val="28"/>
          <w:lang w:val="en-US" w:eastAsia="ru-RU"/>
        </w:rPr>
        <w:t xml:space="preserve"> 87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 организаций и индивидуальных предпринимателей</w:t>
      </w:r>
      <w:r>
        <w:rPr>
          <w:rFonts w:hint="default" w:ascii="Times New Roman" w:hAnsi="Times New Roman" w:eastAsia="Times New Roman"/>
          <w:i/>
          <w:spacing w:val="-6"/>
          <w:sz w:val="28"/>
          <w:szCs w:val="28"/>
          <w:lang w:val="en-US" w:eastAsia="ru-RU"/>
        </w:rPr>
        <w:t xml:space="preserve">, подпадающих по предполагаемые ограничения составляет 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i/>
          <w:spacing w:val="-6"/>
          <w:sz w:val="28"/>
          <w:szCs w:val="28"/>
          <w:lang w:val="en-US" w:eastAsia="ru-RU"/>
        </w:rPr>
        <w:t xml:space="preserve">44 046,1 тыс.руб. в месяц.</w:t>
      </w:r>
      <w:r/>
    </w:p>
    <w:sectPr>
      <w:headerReference w:type="default" r:id="rId8"/>
      <w:footnotePr/>
      <w:endnotePr/>
      <w:type w:val="nextPage"/>
      <w:pgSz w:w="11906" w:h="16838" w:orient="portrait"/>
      <w:pgMar w:top="1135" w:right="567" w:bottom="284" w:left="851" w:header="142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3"/>
      <w:jc w:val="center"/>
      <w:rPr>
        <w:rFonts w:ascii="Times New Roman" w:hAnsi="Times New Roman"/>
      </w:rPr>
    </w:pPr>
    <w:r>
      <w:rPr>
        <w:rFonts w:ascii="Times New Roman" w:hAnsi="Times New Roman"/>
      </w:rPr>
    </w:r>
    <w:r/>
  </w:p>
  <w:p>
    <w:pPr>
      <w:pStyle w:val="67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62"/>
    <w:link w:val="653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62"/>
    <w:link w:val="654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62"/>
    <w:link w:val="655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62"/>
    <w:link w:val="656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62"/>
    <w:link w:val="657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62"/>
    <w:link w:val="658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62"/>
    <w:link w:val="6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62"/>
    <w:link w:val="660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62"/>
    <w:link w:val="661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62"/>
    <w:link w:val="683"/>
    <w:uiPriority w:val="10"/>
    <w:rPr>
      <w:sz w:val="48"/>
      <w:szCs w:val="48"/>
    </w:rPr>
  </w:style>
  <w:style w:type="character" w:styleId="36">
    <w:name w:val="Subtitle Char"/>
    <w:basedOn w:val="662"/>
    <w:link w:val="685"/>
    <w:uiPriority w:val="11"/>
    <w:rPr>
      <w:sz w:val="24"/>
      <w:szCs w:val="24"/>
    </w:rPr>
  </w:style>
  <w:style w:type="character" w:styleId="38">
    <w:name w:val="Quote Char"/>
    <w:link w:val="700"/>
    <w:uiPriority w:val="29"/>
    <w:rPr>
      <w:i/>
    </w:rPr>
  </w:style>
  <w:style w:type="character" w:styleId="40">
    <w:name w:val="Intense Quote Char"/>
    <w:link w:val="702"/>
    <w:uiPriority w:val="30"/>
    <w:rPr>
      <w:i/>
    </w:rPr>
  </w:style>
  <w:style w:type="character" w:styleId="175">
    <w:name w:val="Footnote Text Char"/>
    <w:link w:val="671"/>
    <w:uiPriority w:val="99"/>
    <w:rPr>
      <w:sz w:val="18"/>
    </w:rPr>
  </w:style>
  <w:style w:type="character" w:styleId="178">
    <w:name w:val="Endnote Text Char"/>
    <w:link w:val="669"/>
    <w:uiPriority w:val="99"/>
    <w:rPr>
      <w:sz w:val="20"/>
    </w:rPr>
  </w:style>
  <w:style w:type="paragraph" w:styleId="652" w:default="1">
    <w:name w:val="Normal"/>
    <w:uiPriority w:val="0"/>
    <w:qFormat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653">
    <w:name w:val="Heading 1"/>
    <w:basedOn w:val="652"/>
    <w:next w:val="652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4">
    <w:name w:val="Heading 2"/>
    <w:basedOn w:val="652"/>
    <w:next w:val="652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5">
    <w:name w:val="Heading 3"/>
    <w:basedOn w:val="652"/>
    <w:next w:val="65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6">
    <w:name w:val="Heading 4"/>
    <w:basedOn w:val="652"/>
    <w:next w:val="652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7">
    <w:name w:val="Heading 5"/>
    <w:basedOn w:val="652"/>
    <w:next w:val="652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8">
    <w:name w:val="Heading 6"/>
    <w:basedOn w:val="652"/>
    <w:next w:val="652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59">
    <w:name w:val="Heading 7"/>
    <w:basedOn w:val="652"/>
    <w:next w:val="652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0">
    <w:name w:val="Heading 8"/>
    <w:basedOn w:val="652"/>
    <w:next w:val="652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1">
    <w:name w:val="Heading 9"/>
    <w:basedOn w:val="652"/>
    <w:next w:val="652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2" w:default="1">
    <w:name w:val="Default Paragraph Font"/>
    <w:uiPriority w:val="1"/>
    <w:semiHidden/>
    <w:unhideWhenUsed/>
    <w:qFormat/>
  </w:style>
  <w:style w:type="table" w:styleId="663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64">
    <w:name w:val="footnote reference"/>
    <w:uiPriority w:val="99"/>
    <w:unhideWhenUsed/>
    <w:qFormat/>
    <w:rPr>
      <w:vertAlign w:val="superscript"/>
    </w:rPr>
  </w:style>
  <w:style w:type="character" w:styleId="665">
    <w:name w:val="endnote reference"/>
    <w:uiPriority w:val="99"/>
    <w:semiHidden/>
    <w:unhideWhenUsed/>
    <w:qFormat/>
    <w:rPr>
      <w:vertAlign w:val="superscript"/>
    </w:rPr>
  </w:style>
  <w:style w:type="character" w:styleId="666">
    <w:name w:val="Emphasis"/>
    <w:uiPriority w:val="20"/>
    <w:qFormat/>
    <w:rPr>
      <w:i/>
      <w:iCs/>
    </w:rPr>
  </w:style>
  <w:style w:type="character" w:styleId="667">
    <w:name w:val="Hyperlink"/>
    <w:uiPriority w:val="99"/>
    <w:semiHidden/>
    <w:unhideWhenUsed/>
    <w:qFormat/>
    <w:rPr>
      <w:color w:val="0000ff"/>
      <w:u w:val="single"/>
    </w:rPr>
  </w:style>
  <w:style w:type="paragraph" w:styleId="668">
    <w:name w:val="Balloon Text"/>
    <w:basedOn w:val="652"/>
    <w:link w:val="835"/>
    <w:uiPriority w:val="99"/>
    <w:semiHidden/>
    <w:unhideWhenUsed/>
    <w:qFormat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paragraph" w:styleId="669">
    <w:name w:val="endnote text"/>
    <w:basedOn w:val="652"/>
    <w:link w:val="833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70">
    <w:name w:val="Caption"/>
    <w:basedOn w:val="652"/>
    <w:next w:val="65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671">
    <w:name w:val="footnote text"/>
    <w:basedOn w:val="652"/>
    <w:link w:val="832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72">
    <w:name w:val="toc 8"/>
    <w:basedOn w:val="652"/>
    <w:next w:val="652"/>
    <w:uiPriority w:val="39"/>
    <w:unhideWhenUsed/>
    <w:qFormat/>
    <w:pPr>
      <w:ind w:left="1984"/>
      <w:spacing w:after="57"/>
    </w:pPr>
  </w:style>
  <w:style w:type="paragraph" w:styleId="673">
    <w:name w:val="Header"/>
    <w:basedOn w:val="652"/>
    <w:link w:val="837"/>
    <w:uiPriority w:val="99"/>
    <w:unhideWhenUsed/>
    <w:qFormat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674">
    <w:name w:val="toc 9"/>
    <w:basedOn w:val="652"/>
    <w:next w:val="652"/>
    <w:uiPriority w:val="39"/>
    <w:unhideWhenUsed/>
    <w:qFormat/>
    <w:pPr>
      <w:ind w:left="2268"/>
      <w:spacing w:after="57"/>
    </w:pPr>
  </w:style>
  <w:style w:type="paragraph" w:styleId="675">
    <w:name w:val="toc 7"/>
    <w:basedOn w:val="652"/>
    <w:next w:val="652"/>
    <w:uiPriority w:val="39"/>
    <w:unhideWhenUsed/>
    <w:qFormat/>
    <w:pPr>
      <w:ind w:left="1701"/>
      <w:spacing w:after="57"/>
    </w:pPr>
  </w:style>
  <w:style w:type="paragraph" w:styleId="676">
    <w:name w:val="toc 1"/>
    <w:basedOn w:val="652"/>
    <w:next w:val="652"/>
    <w:uiPriority w:val="39"/>
    <w:unhideWhenUsed/>
    <w:qFormat/>
    <w:pPr>
      <w:spacing w:after="57"/>
    </w:pPr>
  </w:style>
  <w:style w:type="paragraph" w:styleId="677">
    <w:name w:val="toc 6"/>
    <w:basedOn w:val="652"/>
    <w:next w:val="652"/>
    <w:uiPriority w:val="39"/>
    <w:unhideWhenUsed/>
    <w:qFormat/>
    <w:pPr>
      <w:ind w:left="1417"/>
      <w:spacing w:after="57"/>
    </w:pPr>
  </w:style>
  <w:style w:type="paragraph" w:styleId="678">
    <w:name w:val="table of figures"/>
    <w:basedOn w:val="652"/>
    <w:next w:val="652"/>
    <w:uiPriority w:val="99"/>
    <w:unhideWhenUsed/>
    <w:qFormat/>
    <w:pPr>
      <w:spacing w:after="0"/>
    </w:pPr>
  </w:style>
  <w:style w:type="paragraph" w:styleId="679">
    <w:name w:val="toc 3"/>
    <w:basedOn w:val="652"/>
    <w:next w:val="652"/>
    <w:uiPriority w:val="39"/>
    <w:unhideWhenUsed/>
    <w:qFormat/>
    <w:pPr>
      <w:ind w:left="567"/>
      <w:spacing w:after="57"/>
    </w:pPr>
  </w:style>
  <w:style w:type="paragraph" w:styleId="680">
    <w:name w:val="toc 2"/>
    <w:basedOn w:val="652"/>
    <w:next w:val="652"/>
    <w:uiPriority w:val="39"/>
    <w:unhideWhenUsed/>
    <w:qFormat/>
    <w:pPr>
      <w:ind w:left="283"/>
      <w:spacing w:after="57"/>
    </w:pPr>
  </w:style>
  <w:style w:type="paragraph" w:styleId="681">
    <w:name w:val="toc 4"/>
    <w:basedOn w:val="652"/>
    <w:next w:val="652"/>
    <w:uiPriority w:val="39"/>
    <w:unhideWhenUsed/>
    <w:qFormat/>
    <w:pPr>
      <w:ind w:left="850"/>
      <w:spacing w:after="57"/>
    </w:pPr>
  </w:style>
  <w:style w:type="paragraph" w:styleId="682">
    <w:name w:val="toc 5"/>
    <w:basedOn w:val="652"/>
    <w:next w:val="652"/>
    <w:uiPriority w:val="39"/>
    <w:unhideWhenUsed/>
    <w:qFormat/>
    <w:pPr>
      <w:ind w:left="1134"/>
      <w:spacing w:after="57"/>
    </w:pPr>
  </w:style>
  <w:style w:type="paragraph" w:styleId="683">
    <w:name w:val="Title"/>
    <w:basedOn w:val="652"/>
    <w:next w:val="6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84">
    <w:name w:val="Footer"/>
    <w:basedOn w:val="652"/>
    <w:link w:val="838"/>
    <w:uiPriority w:val="99"/>
    <w:unhideWhenUsed/>
    <w:qFormat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685">
    <w:name w:val="Subtitle"/>
    <w:basedOn w:val="652"/>
    <w:next w:val="652"/>
    <w:link w:val="699"/>
    <w:uiPriority w:val="11"/>
    <w:qFormat/>
    <w:pPr>
      <w:spacing w:before="200" w:after="200"/>
    </w:pPr>
    <w:rPr>
      <w:sz w:val="24"/>
      <w:szCs w:val="24"/>
    </w:rPr>
  </w:style>
  <w:style w:type="table" w:styleId="686">
    <w:name w:val="Table Grid"/>
    <w:basedOn w:val="663"/>
    <w:uiPriority w:val="3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87" w:customStyle="1">
    <w:name w:val="Заголовок 1 Знак"/>
    <w:link w:val="653"/>
    <w:uiPriority w:val="9"/>
    <w:qFormat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link w:val="654"/>
    <w:uiPriority w:val="9"/>
    <w:qFormat/>
    <w:rPr>
      <w:rFonts w:ascii="Arial" w:hAnsi="Arial" w:eastAsia="Arial" w:cs="Arial"/>
      <w:sz w:val="34"/>
    </w:rPr>
  </w:style>
  <w:style w:type="character" w:styleId="689" w:customStyle="1">
    <w:name w:val="Заголовок 3 Знак"/>
    <w:link w:val="655"/>
    <w:uiPriority w:val="9"/>
    <w:qFormat/>
    <w:rPr>
      <w:rFonts w:ascii="Arial" w:hAnsi="Arial" w:eastAsia="Arial" w:cs="Arial"/>
      <w:sz w:val="30"/>
      <w:szCs w:val="30"/>
    </w:rPr>
  </w:style>
  <w:style w:type="character" w:styleId="690" w:customStyle="1">
    <w:name w:val="Заголовок 4 Знак"/>
    <w:link w:val="65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link w:val="65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link w:val="65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link w:val="65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link w:val="66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link w:val="661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652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rPr>
      <w:rFonts w:ascii="Calibri" w:hAnsi="Calibri" w:eastAsia="Calibri" w:cs="Times New Roman"/>
      <w:lang w:val="ru-RU" w:eastAsia="zh-CN" w:bidi="ar-SA"/>
    </w:rPr>
  </w:style>
  <w:style w:type="character" w:styleId="698" w:customStyle="1">
    <w:name w:val="Название Знак"/>
    <w:link w:val="683"/>
    <w:uiPriority w:val="10"/>
    <w:qFormat/>
    <w:rPr>
      <w:sz w:val="48"/>
      <w:szCs w:val="48"/>
    </w:rPr>
  </w:style>
  <w:style w:type="character" w:styleId="699" w:customStyle="1">
    <w:name w:val="Подзаголовок Знак"/>
    <w:link w:val="685"/>
    <w:uiPriority w:val="11"/>
    <w:qFormat/>
    <w:rPr>
      <w:sz w:val="24"/>
      <w:szCs w:val="24"/>
    </w:rPr>
  </w:style>
  <w:style w:type="paragraph" w:styleId="700">
    <w:name w:val="Quote"/>
    <w:basedOn w:val="652"/>
    <w:next w:val="652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qFormat/>
    <w:rPr>
      <w:i/>
    </w:rPr>
  </w:style>
  <w:style w:type="paragraph" w:styleId="702">
    <w:name w:val="Intense Quote"/>
    <w:basedOn w:val="652"/>
    <w:next w:val="652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qFormat/>
    <w:rPr>
      <w:i/>
    </w:rPr>
  </w:style>
  <w:style w:type="character" w:styleId="704" w:customStyle="1">
    <w:name w:val="Header Char"/>
    <w:uiPriority w:val="99"/>
    <w:qFormat/>
  </w:style>
  <w:style w:type="character" w:styleId="705" w:customStyle="1">
    <w:name w:val="Footer Char"/>
    <w:uiPriority w:val="99"/>
    <w:qFormat/>
  </w:style>
  <w:style w:type="character" w:styleId="706" w:customStyle="1">
    <w:name w:val="Caption Char"/>
    <w:uiPriority w:val="99"/>
    <w:qFormat/>
  </w:style>
  <w:style w:type="table" w:styleId="707" w:customStyle="1">
    <w:name w:val="Table Grid Light"/>
    <w:uiPriority w:val="59"/>
    <w:qFormat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 w:customStyle="1">
    <w:name w:val="Plain Table 1"/>
    <w:uiPriority w:val="59"/>
    <w:qFormat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 w:customStyle="1">
    <w:name w:val="Plain Table 2"/>
    <w:uiPriority w:val="59"/>
    <w:qFormat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Plain Table 3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Plain Table 4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Plain Table 5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1 Light"/>
    <w:uiPriority w:val="99"/>
    <w:qFormat/>
    <w:rPr>
      <w:lang w:eastAsia="zh-CN"/>
    </w:rPr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1 Light - Accent 1"/>
    <w:uiPriority w:val="99"/>
    <w:qFormat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1 Light - Accent 2"/>
    <w:uiPriority w:val="99"/>
    <w:qFormat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1 Light - Accent 3"/>
    <w:uiPriority w:val="99"/>
    <w:qFormat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1 Light - Accent 4"/>
    <w:uiPriority w:val="99"/>
    <w:qFormat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1 Light - Accent 5"/>
    <w:uiPriority w:val="99"/>
    <w:qFormat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1 Light - Accent 6"/>
    <w:uiPriority w:val="99"/>
    <w:qFormat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2"/>
    <w:uiPriority w:val="99"/>
    <w:qFormat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2 - Accent 1"/>
    <w:uiPriority w:val="99"/>
    <w:qFormat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2 - Accent 2"/>
    <w:uiPriority w:val="99"/>
    <w:qFormat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2 - Accent 3"/>
    <w:uiPriority w:val="99"/>
    <w:qFormat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2 - Accent 4"/>
    <w:uiPriority w:val="99"/>
    <w:qFormat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2 - Accent 5"/>
    <w:uiPriority w:val="99"/>
    <w:qFormat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2 - Accent 6"/>
    <w:uiPriority w:val="99"/>
    <w:qFormat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3"/>
    <w:uiPriority w:val="99"/>
    <w:qFormat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3 - Accent 1"/>
    <w:uiPriority w:val="99"/>
    <w:qFormat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3 - Accent 2"/>
    <w:uiPriority w:val="99"/>
    <w:qFormat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3 - Accent 3"/>
    <w:uiPriority w:val="99"/>
    <w:qFormat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3 - Accent 4"/>
    <w:uiPriority w:val="99"/>
    <w:qFormat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3 - Accent 5"/>
    <w:uiPriority w:val="99"/>
    <w:qFormat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3 - Accent 6"/>
    <w:uiPriority w:val="99"/>
    <w:qFormat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4"/>
    <w:uiPriority w:val="59"/>
    <w:qFormat/>
    <w:rPr>
      <w:lang w:eastAsia="zh-CN"/>
    </w:rPr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4 - Accent 1"/>
    <w:uiPriority w:val="59"/>
    <w:qFormat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4 - Accent 2"/>
    <w:uiPriority w:val="59"/>
    <w:qFormat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4 - Accent 3"/>
    <w:uiPriority w:val="59"/>
    <w:qFormat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4 - Accent 4"/>
    <w:uiPriority w:val="59"/>
    <w:qFormat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4 - Accent 5"/>
    <w:uiPriority w:val="59"/>
    <w:qFormat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4 - Accent 6"/>
    <w:uiPriority w:val="59"/>
    <w:qFormat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5 Dark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5 Dark- Accent 1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5 Dark - Accent 2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5 Dark - Accent 3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5 Dark- Accent 4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5 Dark - Accent 5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5 Dark - Accent 6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6 Colorful"/>
    <w:uiPriority w:val="99"/>
    <w:qFormat/>
    <w:rPr>
      <w:lang w:eastAsia="zh-CN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6 Colorful - Accent 1"/>
    <w:uiPriority w:val="99"/>
    <w:qFormat/>
    <w:rPr>
      <w:lang w:eastAsia="zh-CN"/>
    </w:r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6 Colorful - Accent 2"/>
    <w:uiPriority w:val="99"/>
    <w:qFormat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6 Colorful - Accent 3"/>
    <w:uiPriority w:val="99"/>
    <w:qFormat/>
    <w:rPr>
      <w:lang w:eastAsia="zh-CN"/>
    </w:rPr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6 Colorful - Accent 4"/>
    <w:uiPriority w:val="99"/>
    <w:qFormat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6 Colorful - Accent 5"/>
    <w:uiPriority w:val="99"/>
    <w:qFormat/>
    <w:rPr>
      <w:lang w:eastAsia="zh-CN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6 Colorful - Accent 6"/>
    <w:uiPriority w:val="99"/>
    <w:qFormat/>
    <w:rPr>
      <w:lang w:eastAsia="zh-CN"/>
    </w:r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7 Colorful"/>
    <w:uiPriority w:val="99"/>
    <w:qFormat/>
    <w:rPr>
      <w:lang w:eastAsia="zh-CN"/>
    </w:rPr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7 Colorful - Accent 1"/>
    <w:uiPriority w:val="99"/>
    <w:qFormat/>
    <w:rPr>
      <w:lang w:eastAsia="zh-CN"/>
    </w:r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7 Colorful - Accent 2"/>
    <w:uiPriority w:val="99"/>
    <w:qFormat/>
    <w:rPr>
      <w:lang w:eastAsia="zh-CN"/>
    </w:rPr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7 Colorful - Accent 3"/>
    <w:uiPriority w:val="99"/>
    <w:qFormat/>
    <w:rPr>
      <w:lang w:eastAsia="zh-CN"/>
    </w:rPr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7 Colorful - Accent 4"/>
    <w:uiPriority w:val="99"/>
    <w:qFormat/>
    <w:rPr>
      <w:lang w:eastAsia="zh-CN"/>
    </w:r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7 Colorful - Accent 5"/>
    <w:uiPriority w:val="99"/>
    <w:qFormat/>
    <w:rPr>
      <w:lang w:eastAsia="zh-CN"/>
    </w:r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7 Colorful - Accent 6"/>
    <w:uiPriority w:val="99"/>
    <w:qFormat/>
    <w:rPr>
      <w:lang w:eastAsia="zh-CN"/>
    </w:r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1 Light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1 Light - Accent 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1 Light - Accent 2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1 Light - Accent 3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1 Light - Accent 4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1 Light - Accent 5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1 Light - Accent 6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2"/>
    <w:uiPriority w:val="99"/>
    <w:qFormat/>
    <w:rPr>
      <w:lang w:eastAsia="zh-CN"/>
    </w:rPr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2 - Accent 1"/>
    <w:uiPriority w:val="99"/>
    <w:qFormat/>
    <w:rPr>
      <w:lang w:eastAsia="zh-CN"/>
    </w:r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2 - Accent 2"/>
    <w:uiPriority w:val="99"/>
    <w:qFormat/>
    <w:rPr>
      <w:lang w:eastAsia="zh-CN"/>
    </w:rPr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2 - Accent 3"/>
    <w:uiPriority w:val="99"/>
    <w:qFormat/>
    <w:rPr>
      <w:lang w:eastAsia="zh-CN"/>
    </w:r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2 - Accent 4"/>
    <w:uiPriority w:val="99"/>
    <w:qFormat/>
    <w:rPr>
      <w:lang w:eastAsia="zh-CN"/>
    </w:r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2 - Accent 5"/>
    <w:uiPriority w:val="99"/>
    <w:qFormat/>
    <w:rPr>
      <w:lang w:eastAsia="zh-CN"/>
    </w:r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2 - Accent 6"/>
    <w:uiPriority w:val="99"/>
    <w:qFormat/>
    <w:rPr>
      <w:lang w:eastAsia="zh-CN"/>
    </w:r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3"/>
    <w:uiPriority w:val="9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3 - Accent 1"/>
    <w:uiPriority w:val="99"/>
    <w:qFormat/>
    <w:rPr>
      <w:lang w:eastAsia="zh-CN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3 - Accent 2"/>
    <w:uiPriority w:val="99"/>
    <w:qFormat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3 - Accent 3"/>
    <w:uiPriority w:val="99"/>
    <w:qFormat/>
    <w:rPr>
      <w:lang w:eastAsia="zh-CN"/>
    </w:rPr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3 - Accent 4"/>
    <w:uiPriority w:val="99"/>
    <w:qFormat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3 - Accent 5"/>
    <w:uiPriority w:val="99"/>
    <w:qFormat/>
    <w:rPr>
      <w:lang w:eastAsia="zh-CN"/>
    </w:r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3 - Accent 6"/>
    <w:uiPriority w:val="99"/>
    <w:qFormat/>
    <w:rPr>
      <w:lang w:eastAsia="zh-CN"/>
    </w:r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4"/>
    <w:uiPriority w:val="9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4 - Accent 1"/>
    <w:uiPriority w:val="99"/>
    <w:qFormat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4 - Accent 2"/>
    <w:uiPriority w:val="99"/>
    <w:qFormat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4 - Accent 3"/>
    <w:uiPriority w:val="99"/>
    <w:qFormat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4 - Accent 4"/>
    <w:uiPriority w:val="99"/>
    <w:qFormat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4 - Accent 5"/>
    <w:uiPriority w:val="99"/>
    <w:qFormat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4 - Accent 6"/>
    <w:uiPriority w:val="99"/>
    <w:qFormat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5 Dark"/>
    <w:uiPriority w:val="99"/>
    <w:qFormat/>
    <w:rPr>
      <w:lang w:eastAsia="zh-CN"/>
    </w:rPr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5 Dark - Accent 1"/>
    <w:uiPriority w:val="99"/>
    <w:qFormat/>
    <w:rPr>
      <w:lang w:eastAsia="zh-CN"/>
    </w:r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5 Dark - Accent 2"/>
    <w:uiPriority w:val="99"/>
    <w:qFormat/>
    <w:rPr>
      <w:lang w:eastAsia="zh-CN"/>
    </w:rPr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5 Dark - Accent 3"/>
    <w:uiPriority w:val="99"/>
    <w:qFormat/>
    <w:rPr>
      <w:lang w:eastAsia="zh-CN"/>
    </w:rPr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5 Dark - Accent 4"/>
    <w:uiPriority w:val="99"/>
    <w:qFormat/>
    <w:rPr>
      <w:lang w:eastAsia="zh-CN"/>
    </w:r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5 Dark - Accent 5"/>
    <w:uiPriority w:val="99"/>
    <w:qFormat/>
    <w:rPr>
      <w:lang w:eastAsia="zh-CN"/>
    </w:r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6"/>
    <w:uiPriority w:val="99"/>
    <w:qFormat/>
    <w:rPr>
      <w:lang w:eastAsia="zh-CN"/>
    </w:r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6 Colorful"/>
    <w:uiPriority w:val="99"/>
    <w:qFormat/>
    <w:rPr>
      <w:lang w:eastAsia="zh-CN"/>
    </w:rPr>
    <w:tblPr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6 Colorful - Accent 1"/>
    <w:uiPriority w:val="99"/>
    <w:qFormat/>
    <w:rPr>
      <w:lang w:eastAsia="zh-CN"/>
    </w:rPr>
    <w:tblPr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6 Colorful - Accent 2"/>
    <w:uiPriority w:val="99"/>
    <w:qFormat/>
    <w:rPr>
      <w:lang w:eastAsia="zh-CN"/>
    </w:rPr>
    <w:tblPr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6 Colorful - Accent 3"/>
    <w:uiPriority w:val="99"/>
    <w:qFormat/>
    <w:rPr>
      <w:lang w:eastAsia="zh-CN"/>
    </w:rPr>
    <w:tblPr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6 Colorful - Accent 4"/>
    <w:uiPriority w:val="99"/>
    <w:qFormat/>
    <w:rPr>
      <w:lang w:eastAsia="zh-CN"/>
    </w:rPr>
    <w:tblPr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6 Colorful - Accent 5"/>
    <w:uiPriority w:val="99"/>
    <w:qFormat/>
    <w:rPr>
      <w:lang w:eastAsia="zh-CN"/>
    </w:rPr>
    <w:tblPr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6 Colorful - Accent 6"/>
    <w:uiPriority w:val="99"/>
    <w:qFormat/>
    <w:rPr>
      <w:lang w:eastAsia="zh-CN"/>
    </w:rPr>
    <w:tblPr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7 Colorful"/>
    <w:uiPriority w:val="99"/>
    <w:qFormat/>
    <w:rPr>
      <w:lang w:eastAsia="zh-CN"/>
    </w:rPr>
    <w:tblPr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7 Colorful - Accent 1"/>
    <w:uiPriority w:val="99"/>
    <w:qFormat/>
    <w:rPr>
      <w:lang w:eastAsia="zh-CN"/>
    </w:rPr>
    <w:tblPr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7 Colorful - Accent 2"/>
    <w:uiPriority w:val="99"/>
    <w:qFormat/>
    <w:rPr>
      <w:lang w:eastAsia="zh-CN"/>
    </w:rPr>
    <w:tblPr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7 Colorful - Accent 3"/>
    <w:uiPriority w:val="99"/>
    <w:qFormat/>
    <w:rPr>
      <w:lang w:eastAsia="zh-CN"/>
    </w:rPr>
    <w:tblPr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7 Colorful - Accent 4"/>
    <w:uiPriority w:val="99"/>
    <w:qFormat/>
    <w:rPr>
      <w:lang w:eastAsia="zh-CN"/>
    </w:rPr>
    <w:tblPr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7 Colorful - Accent 5"/>
    <w:uiPriority w:val="99"/>
    <w:qFormat/>
    <w:rPr>
      <w:lang w:eastAsia="zh-CN"/>
    </w:rPr>
    <w:tblPr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7 Colorful - Accent 6"/>
    <w:uiPriority w:val="99"/>
    <w:qFormat/>
    <w:rPr>
      <w:lang w:eastAsia="zh-CN"/>
    </w:rPr>
    <w:tblPr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ned - Accent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ned - Accent 1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ned - Accent 2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 3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ned - Accent 4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 5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6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Bordered &amp; Lined - Accent"/>
    <w:uiPriority w:val="99"/>
    <w:qFormat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&amp; Lined - Accent 1"/>
    <w:uiPriority w:val="99"/>
    <w:qFormat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&amp; Lined - Accent 2"/>
    <w:uiPriority w:val="99"/>
    <w:qFormat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 3"/>
    <w:uiPriority w:val="99"/>
    <w:qFormat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&amp; Lined - Accent 4"/>
    <w:uiPriority w:val="99"/>
    <w:qFormat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 5"/>
    <w:uiPriority w:val="99"/>
    <w:qFormat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6"/>
    <w:uiPriority w:val="99"/>
    <w:qFormat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"/>
    <w:uiPriority w:val="99"/>
    <w:qFormat/>
    <w:rPr>
      <w:lang w:eastAsia="zh-CN"/>
    </w:r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- Accent 1"/>
    <w:uiPriority w:val="99"/>
    <w:qFormat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- Accent 2"/>
    <w:uiPriority w:val="99"/>
    <w:qFormat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- Accent 3"/>
    <w:uiPriority w:val="99"/>
    <w:qFormat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- Accent 4"/>
    <w:uiPriority w:val="99"/>
    <w:qFormat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- Accent 5"/>
    <w:uiPriority w:val="99"/>
    <w:qFormat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6"/>
    <w:uiPriority w:val="99"/>
    <w:qFormat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2" w:customStyle="1">
    <w:name w:val="Текст сноски Знак"/>
    <w:link w:val="671"/>
    <w:uiPriority w:val="99"/>
    <w:qFormat/>
    <w:rPr>
      <w:sz w:val="18"/>
    </w:rPr>
  </w:style>
  <w:style w:type="character" w:styleId="833" w:customStyle="1">
    <w:name w:val="Текст концевой сноски Знак"/>
    <w:link w:val="669"/>
    <w:uiPriority w:val="99"/>
    <w:qFormat/>
    <w:rPr>
      <w:sz w:val="20"/>
    </w:rPr>
  </w:style>
  <w:style w:type="paragraph" w:styleId="834" w:customStyle="1">
    <w:name w:val="TOC Heading"/>
    <w:uiPriority w:val="39"/>
    <w:unhideWhenUsed/>
    <w:qFormat/>
    <w:rPr>
      <w:rFonts w:ascii="Calibri" w:hAnsi="Calibri" w:eastAsia="Calibri" w:cs="Times New Roman"/>
      <w:lang w:val="ru-RU" w:eastAsia="zh-CN" w:bidi="ar-SA"/>
    </w:rPr>
  </w:style>
  <w:style w:type="character" w:styleId="835" w:customStyle="1">
    <w:name w:val="Текст выноски Знак"/>
    <w:link w:val="668"/>
    <w:uiPriority w:val="99"/>
    <w:semiHidden/>
    <w:qFormat/>
    <w:rPr>
      <w:rFonts w:ascii="Segoe UI" w:hAnsi="Segoe UI" w:cs="Segoe UI"/>
      <w:sz w:val="18"/>
      <w:szCs w:val="18"/>
    </w:rPr>
  </w:style>
  <w:style w:type="paragraph" w:styleId="836" w:customStyle="1">
    <w:name w:val="ConsPlusNormal"/>
    <w:uiPriority w:val="0"/>
    <w:qFormat/>
    <w:pPr>
      <w:widowControl w:val="off"/>
    </w:pPr>
    <w:rPr>
      <w:rFonts w:ascii="Calibri" w:hAnsi="Calibri" w:eastAsia="Times New Roman" w:cs="Calibri"/>
      <w:sz w:val="22"/>
      <w:lang w:val="ru-RU" w:eastAsia="ru-RU" w:bidi="ar-SA"/>
    </w:rPr>
  </w:style>
  <w:style w:type="character" w:styleId="837" w:customStyle="1">
    <w:name w:val="Верхний колонтитул Знак"/>
    <w:link w:val="673"/>
    <w:uiPriority w:val="99"/>
    <w:qFormat/>
    <w:rPr>
      <w:sz w:val="22"/>
      <w:szCs w:val="22"/>
      <w:lang w:eastAsia="en-US"/>
    </w:rPr>
  </w:style>
  <w:style w:type="character" w:styleId="838" w:customStyle="1">
    <w:name w:val="Нижний колонтитул Знак"/>
    <w:link w:val="684"/>
    <w:uiPriority w:val="99"/>
    <w:qFormat/>
    <w:rPr>
      <w:sz w:val="22"/>
      <w:szCs w:val="22"/>
      <w:lang w:eastAsia="en-US"/>
    </w:rPr>
  </w:style>
  <w:style w:type="character" w:styleId="839" w:customStyle="1">
    <w:name w:val="s_10"/>
    <w:basedOn w:val="662"/>
    <w:uiPriority w:val="0"/>
    <w:qFormat/>
  </w:style>
  <w:style w:type="character" w:styleId="840" w:customStyle="1">
    <w:name w:val="apple-converted-space"/>
    <w:basedOn w:val="662"/>
    <w:uiPriority w:val="0"/>
    <w:qFormat/>
  </w:style>
  <w:style w:type="paragraph" w:styleId="841" w:customStyle="1">
    <w:name w:val="1"/>
    <w:basedOn w:val="652"/>
    <w:uiPriority w:val="0"/>
    <w:qFormat/>
    <w:pPr>
      <w:spacing w:line="240" w:lineRule="exact"/>
    </w:pPr>
    <w:rPr>
      <w:rFonts w:ascii="Verdana" w:hAnsi="Verdana" w:eastAsia="Times New Roman"/>
      <w:sz w:val="20"/>
      <w:szCs w:val="20"/>
      <w:lang w:val="en-US"/>
    </w:rPr>
  </w:style>
  <w:style w:type="numbering" w:styleId="119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Microsoft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30</cp:revision>
  <dcterms:created xsi:type="dcterms:W3CDTF">2022-12-24T00:10:00Z</dcterms:created>
  <dcterms:modified xsi:type="dcterms:W3CDTF">2026-03-27T13:58:55Z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