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6"/>
          <w:szCs w:val="26"/>
          <w:highlight w:val="none"/>
        </w:rPr>
      </w:pPr>
      <w:r>
        <w:rPr>
          <w:sz w:val="26"/>
          <w:szCs w:val="26"/>
        </w:rPr>
      </w:r>
      <w:bookmarkStart w:id="0" w:name="Par118"/>
      <w:r>
        <w:rPr>
          <w:sz w:val="26"/>
          <w:szCs w:val="26"/>
        </w:rPr>
      </w:r>
      <w:bookmarkEnd w:id="0"/>
      <w:r>
        <w:rPr>
          <w:rFonts w:eastAsia="Calibri"/>
          <w:b/>
          <w:bCs/>
          <w:sz w:val="26"/>
          <w:szCs w:val="26"/>
          <w:lang w:eastAsia="en-US"/>
        </w:rPr>
        <w:t xml:space="preserve">Отчет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</w:r>
      <w:r/>
    </w:p>
    <w:p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об </w:t>
      </w:r>
      <w:r>
        <w:rPr>
          <w:rFonts w:eastAsia="Calibri"/>
          <w:b/>
          <w:bCs/>
          <w:sz w:val="26"/>
          <w:szCs w:val="26"/>
          <w:lang w:eastAsia="en-US"/>
        </w:rPr>
        <w:t xml:space="preserve">оценке фактического </w:t>
      </w:r>
      <w:r>
        <w:rPr>
          <w:rFonts w:eastAsia="Calibri"/>
          <w:b/>
          <w:bCs/>
          <w:sz w:val="26"/>
          <w:szCs w:val="26"/>
          <w:lang w:eastAsia="en-US"/>
        </w:rPr>
        <w:t xml:space="preserve">воздействия</w:t>
      </w:r>
      <w:r>
        <w:rPr>
          <w:sz w:val="26"/>
          <w:szCs w:val="26"/>
        </w:rPr>
      </w:r>
      <w:r/>
    </w:p>
    <w:p>
      <w:pPr>
        <w:ind w:firstLine="709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>
        <w:rPr>
          <w:sz w:val="26"/>
          <w:szCs w:val="26"/>
        </w:rPr>
      </w:r>
      <w:r/>
    </w:p>
    <w:p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 Общая информация: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 Наименование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нормативного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правового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акта: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остановление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Правительства Белгородской области от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 27 декабря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 </w:t>
        <w:br/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2021 года № 683-пп «О порядке реализации закона Белгородской области </w:t>
        <w:br/>
        <w:t xml:space="preserve">от </w:t>
      </w:r>
      <w:r>
        <w:rPr>
          <w:sz w:val="26"/>
          <w:szCs w:val="26"/>
        </w:rPr>
        <w:t xml:space="preserve">23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декабря 2021 года № 145 «О перераспределении полномочий по организации регулярных перевозок пассажиров и багажа автомобильным транс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».</w:t>
      </w:r>
      <w:r>
        <w:rPr>
          <w:sz w:val="26"/>
          <w:szCs w:val="26"/>
        </w:rPr>
      </w:r>
      <w:r/>
    </w:p>
    <w:p>
      <w:pPr>
        <w:ind w:left="0" w:right="0" w:firstLine="708"/>
        <w:jc w:val="both"/>
        <w:spacing w:before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1.2. Рекви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опубликования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источник официального опубликования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Официальный интернет-портал правовой информации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http://pravo.gov.ru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31.12.2021 г.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справочно-правовые системы (Консультант Плюс, Гарант), федеральный регистр НПА.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1.3. Дата вступления в силу акта и его отдельных положений: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 вступил в силу с 1 января 2022 года.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Сроки проведения публичного обсуждения нормативного правового акта: 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начало «</w:t>
      </w:r>
      <w:r>
        <w:rPr>
          <w:sz w:val="26"/>
          <w:szCs w:val="26"/>
          <w:highlight w:val="none"/>
        </w:rPr>
        <w:t xml:space="preserve">3» апреля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20</w:t>
      </w:r>
      <w:r>
        <w:rPr>
          <w:sz w:val="26"/>
          <w:szCs w:val="26"/>
          <w:highlight w:val="none"/>
        </w:rPr>
        <w:t xml:space="preserve">25 </w:t>
      </w:r>
      <w:r>
        <w:rPr>
          <w:sz w:val="26"/>
          <w:szCs w:val="26"/>
          <w:highlight w:val="none"/>
        </w:rPr>
        <w:t xml:space="preserve">г.;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окончание «</w:t>
      </w:r>
      <w:r>
        <w:rPr>
          <w:sz w:val="26"/>
          <w:szCs w:val="26"/>
          <w:highlight w:val="none"/>
        </w:rPr>
        <w:t xml:space="preserve">6» мая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20</w:t>
      </w:r>
      <w:r>
        <w:rPr>
          <w:sz w:val="26"/>
          <w:szCs w:val="26"/>
          <w:highlight w:val="none"/>
        </w:rPr>
        <w:t xml:space="preserve">25 </w:t>
      </w:r>
      <w:r>
        <w:rPr>
          <w:sz w:val="26"/>
          <w:szCs w:val="26"/>
          <w:highlight w:val="none"/>
        </w:rPr>
        <w:t xml:space="preserve">г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 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сполнительный </w:t>
      </w:r>
      <w:r>
        <w:rPr>
          <w:sz w:val="26"/>
          <w:szCs w:val="26"/>
        </w:rPr>
        <w:t xml:space="preserve">орган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Белгородской </w:t>
      </w:r>
      <w:r>
        <w:rPr>
          <w:sz w:val="26"/>
          <w:szCs w:val="26"/>
        </w:rPr>
        <w:t xml:space="preserve">области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составитель </w:t>
      </w:r>
      <w:r>
        <w:rPr>
          <w:sz w:val="26"/>
          <w:szCs w:val="26"/>
        </w:rPr>
        <w:t xml:space="preserve">отчета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об оценке фактического воздействия</w:t>
      </w:r>
      <w:r>
        <w:rPr>
          <w:sz w:val="26"/>
          <w:szCs w:val="26"/>
        </w:rPr>
        <w:t xml:space="preserve"> (орган – разработчик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 министерство</w:t>
      </w:r>
      <w:bookmarkStart w:id="1" w:name="_Hlk168305295"/>
      <w:r>
        <w:rPr>
          <w:sz w:val="26"/>
          <w:szCs w:val="26"/>
        </w:rPr>
        <w:t xml:space="preserve"> автомобильных дорог и транспорта Белгородской области</w:t>
      </w:r>
      <w:bookmarkEnd w:id="1"/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Контактная информация об исполнителе в органе-разработчике: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</w:t>
      </w:r>
      <w:r>
        <w:rPr>
          <w:sz w:val="26"/>
          <w:szCs w:val="26"/>
        </w:rPr>
        <w:t xml:space="preserve">Киктенко Евгений Викторович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Должность: </w:t>
      </w:r>
      <w:r>
        <w:rPr>
          <w:sz w:val="26"/>
          <w:szCs w:val="26"/>
        </w:rPr>
        <w:t xml:space="preserve">заместитель начальника отдела бюджетного финансирования </w:t>
        <w:br/>
        <w:t xml:space="preserve">и правового обеспечения </w:t>
      </w:r>
      <w:r>
        <w:rPr>
          <w:sz w:val="26"/>
          <w:szCs w:val="26"/>
        </w:rPr>
        <w:t xml:space="preserve">министерства автомобильных дорог и транспорта Белгородской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Тел.: (4722) 33-52-47. </w:t>
      </w:r>
      <w:r>
        <w:rPr>
          <w:sz w:val="26"/>
          <w:szCs w:val="26"/>
        </w:rPr>
      </w:r>
      <w:r/>
    </w:p>
    <w:p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sz w:val="26"/>
          <w:szCs w:val="26"/>
        </w:rPr>
        <w:t xml:space="preserve">Адрес электронной почты: kiktenko_ev@belregion.ru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</w:rPr>
        <w:t xml:space="preserve">2</w:t>
      </w:r>
      <w:r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Результаты п</w:t>
      </w:r>
      <w:r>
        <w:rPr>
          <w:bCs/>
          <w:sz w:val="26"/>
          <w:szCs w:val="26"/>
        </w:rPr>
        <w:t xml:space="preserve">роведени</w:t>
      </w:r>
      <w:r>
        <w:rPr>
          <w:bCs/>
          <w:sz w:val="26"/>
          <w:szCs w:val="26"/>
        </w:rPr>
        <w:t xml:space="preserve">я</w:t>
      </w:r>
      <w:r>
        <w:rPr>
          <w:bCs/>
          <w:sz w:val="26"/>
          <w:szCs w:val="26"/>
        </w:rPr>
        <w:t xml:space="preserve"> оценки регулирующего воздействия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в отношении проекта акта</w:t>
      </w:r>
      <w:r>
        <w:rPr>
          <w:bCs/>
          <w:sz w:val="26"/>
          <w:szCs w:val="26"/>
        </w:rPr>
        <w:t xml:space="preserve"> (при наличии)</w:t>
      </w:r>
      <w:r>
        <w:rPr>
          <w:bCs/>
          <w:sz w:val="26"/>
          <w:szCs w:val="26"/>
        </w:rPr>
        <w:t xml:space="preserve">: положения, вводящие избыточные обязанности, запреты и ограничения для субъектов предпринимательской </w:t>
        <w:br/>
        <w:t xml:space="preserve">и </w:t>
      </w:r>
      <w:r>
        <w:rPr>
          <w:bCs/>
          <w:sz w:val="26"/>
          <w:szCs w:val="26"/>
        </w:rPr>
        <w:t xml:space="preserve">инвестиционной деятельности или способствующие их введению, а также положения, способствующих возникновению необоснованных расходов субъектов предпринимательской и инвестиционной деятельности и консолидированного бюджета Белгородской области, отсутствуют.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.1. </w:t>
      </w:r>
      <w:r>
        <w:rPr>
          <w:bCs/>
          <w:sz w:val="26"/>
          <w:szCs w:val="26"/>
        </w:rPr>
        <w:t xml:space="preserve">Сроки проведения публичного обсуждения проекта нормативного правового акта</w:t>
      </w:r>
      <w:r>
        <w:rPr>
          <w:sz w:val="26"/>
          <w:szCs w:val="26"/>
        </w:rPr>
        <w:t xml:space="preserve">: с 21 декабря 2021 года по 11 января 2022 года.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.2.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сполнительн</w:t>
      </w:r>
      <w:r>
        <w:rPr>
          <w:sz w:val="26"/>
          <w:szCs w:val="26"/>
        </w:rPr>
        <w:t xml:space="preserve">ый орган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Белгородской </w:t>
      </w:r>
      <w:r>
        <w:rPr>
          <w:sz w:val="26"/>
          <w:szCs w:val="26"/>
        </w:rPr>
        <w:t xml:space="preserve">области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составитель </w:t>
      </w:r>
      <w:r>
        <w:rPr>
          <w:sz w:val="26"/>
          <w:szCs w:val="26"/>
        </w:rPr>
        <w:t xml:space="preserve">отчета</w:t>
      </w:r>
      <w:r>
        <w:rPr>
          <w:sz w:val="26"/>
          <w:szCs w:val="26"/>
        </w:rPr>
        <w:t xml:space="preserve"> </w:t>
        <w:br/>
        <w:t xml:space="preserve">об оценке регулирующего воздействия: министерство автомобильных дорог </w:t>
        <w:br/>
        <w:t xml:space="preserve">и транспорта Белгородской области.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.3 Сведения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лицах,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представивших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предложения: </w:t>
      </w:r>
      <w:r>
        <w:rPr>
          <w:sz w:val="26"/>
          <w:szCs w:val="26"/>
        </w:rPr>
        <w:t xml:space="preserve">БРОО «ЦСИ «Вера», </w:t>
        <w:br/>
        <w:t xml:space="preserve">АО «Красногвардейское АТП», ООО «Городское пассажирское предприятие»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Союз «Белгородская торгово-промышленная палата»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.4. Сведения о структурных подразделениях </w:t>
      </w:r>
      <w:r>
        <w:rPr>
          <w:sz w:val="26"/>
          <w:szCs w:val="26"/>
        </w:rPr>
        <w:t xml:space="preserve">органа-</w:t>
      </w:r>
      <w:r>
        <w:rPr>
          <w:sz w:val="26"/>
          <w:szCs w:val="26"/>
        </w:rPr>
        <w:t xml:space="preserve">разработчика, рассмотревших представленные предложения: отдел бюджетного финансирования </w:t>
        <w:br/>
        <w:t xml:space="preserve">и правового обеспечения.</w:t>
      </w:r>
      <w:r>
        <w:rPr>
          <w:sz w:val="26"/>
          <w:szCs w:val="26"/>
        </w:rPr>
      </w:r>
      <w:r/>
    </w:p>
    <w:p>
      <w:pPr>
        <w:pStyle w:val="688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.5. Полный электронный адрес размещения документов по оценке регулирующего воздействия проекта нормативного правового акта: </w:t>
      </w:r>
      <w:r>
        <w:rPr>
          <w:rFonts w:eastAsia="Calibri"/>
          <w:sz w:val="26"/>
          <w:szCs w:val="26"/>
          <w:lang w:eastAsia="en-US"/>
        </w:rPr>
        <w:t xml:space="preserve">на сайте министерства экономического развития и промышленности Белгородской области </w:t>
      </w:r>
      <w:r>
        <w:rPr>
          <w:rFonts w:eastAsia="Calibri"/>
          <w:sz w:val="26"/>
          <w:szCs w:val="26"/>
          <w:lang w:eastAsia="en-US"/>
        </w:rPr>
      </w:r>
      <w:hyperlink r:id="rId12" w:tooltip="http://minecprom.belregion.ru/deyatelnost/ocenka-reguliruyushego-vozdejstviya/publichnye-konsultacii/ocenka-reguliruyushego-vozd645tviya-pro5kta-postan/," w:history="1">
        <w:r>
          <w:rPr>
            <w:rStyle w:val="849"/>
            <w:rFonts w:eastAsia="Calibri"/>
            <w:sz w:val="26"/>
            <w:szCs w:val="26"/>
            <w:lang w:eastAsia="en-US"/>
          </w:rPr>
          <w:t xml:space="preserve">http://minecprom.belregion.ru/deyatelnost/ocenka-reguliruyushego-vozdejstviya/publichnye-konsultacii/ocenka-reguliruyushego-vozd645tviya-pro5kta-postan/</w:t>
        </w:r>
        <w:r>
          <w:rPr>
            <w:rStyle w:val="849"/>
            <w:rFonts w:eastAsia="Calibri"/>
            <w:sz w:val="26"/>
            <w:szCs w:val="26"/>
            <w:lang w:eastAsia="en-US"/>
          </w:rPr>
          <w:t xml:space="preserve">,</w:t>
        </w:r>
      </w:hyperlink>
      <w:r>
        <w:rPr>
          <w:rFonts w:eastAsia="Calibri"/>
          <w:sz w:val="26"/>
          <w:szCs w:val="26"/>
          <w:lang w:eastAsia="en-US"/>
        </w:rPr>
        <w:t xml:space="preserve"> на Инвестиционном портале Белгородской области </w:t>
      </w:r>
      <w:r>
        <w:rPr>
          <w:rFonts w:eastAsia="Calibri"/>
          <w:sz w:val="26"/>
          <w:szCs w:val="26"/>
          <w:lang w:eastAsia="en-US"/>
        </w:rPr>
      </w:r>
      <w:hyperlink r:id="rId13" w:tooltip="https://belgorodinvest.com/docs/doc/11702/," w:history="1">
        <w:r>
          <w:rPr>
            <w:rStyle w:val="849"/>
            <w:rFonts w:eastAsia="Calibri"/>
            <w:sz w:val="26"/>
            <w:szCs w:val="26"/>
            <w:lang w:eastAsia="en-US"/>
          </w:rPr>
          <w:t xml:space="preserve">https://belgorodinvest.com/docs/doc/11702/</w:t>
        </w:r>
        <w:r>
          <w:rPr>
            <w:rStyle w:val="849"/>
            <w:rFonts w:eastAsia="Calibri"/>
            <w:sz w:val="26"/>
            <w:szCs w:val="26"/>
            <w:lang w:eastAsia="en-US"/>
          </w:rPr>
          <w:t xml:space="preserve">,</w:t>
        </w:r>
      </w:hyperlink>
      <w:r>
        <w:rPr>
          <w:rFonts w:eastAsia="Calibri"/>
          <w:sz w:val="26"/>
          <w:szCs w:val="26"/>
          <w:lang w:eastAsia="en-US"/>
        </w:rPr>
        <w:t xml:space="preserve"> на сайте </w:t>
      </w:r>
      <w:r>
        <w:rPr>
          <w:rFonts w:eastAsia="Calibri"/>
          <w:sz w:val="26"/>
          <w:szCs w:val="26"/>
          <w:lang w:eastAsia="en-US"/>
        </w:rPr>
        <w:t xml:space="preserve"> министерства автомобильных дорог и транспорта Белгородской области</w:t>
      </w:r>
      <w:r>
        <w:rPr>
          <w:rFonts w:eastAsia="Calibri"/>
          <w:sz w:val="26"/>
          <w:szCs w:val="26"/>
          <w:lang w:eastAsia="en-US"/>
        </w:rPr>
        <w:t xml:space="preserve">               </w:t>
      </w:r>
      <w:hyperlink r:id="rId14" w:tooltip="http://beluprdor.ru/deyatelnost1/ocenka-reguliruyushego-vozdejstviya/." w:history="1">
        <w:r>
          <w:rPr>
            <w:rStyle w:val="849"/>
            <w:rFonts w:eastAsia="Calibri"/>
            <w:sz w:val="26"/>
            <w:szCs w:val="26"/>
            <w:lang w:eastAsia="en-US"/>
          </w:rPr>
          <w:t xml:space="preserve">http://beluprdor.ru/deyatelnost1/ocenka-reguliruyushego-vozdejstviya/</w:t>
        </w:r>
        <w:r>
          <w:rPr>
            <w:rStyle w:val="849"/>
            <w:sz w:val="26"/>
            <w:szCs w:val="26"/>
          </w:rPr>
          <w:t xml:space="preserve">.</w:t>
        </w:r>
        <w:r>
          <w:rPr>
            <w:rStyle w:val="849"/>
            <w:rFonts w:eastAsia="Calibri"/>
            <w:sz w:val="27"/>
            <w:szCs w:val="27"/>
            <w:lang w:eastAsia="en-US"/>
          </w:rPr>
        </w:r>
      </w:hyperlink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.6. Иные сведения о проведении публичного обсуждения проекта нормативного правового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отсутствует.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.7. Дата и реквизиты заключения об оценке регулирующего воздействия проекта нормативного правового акта:</w:t>
      </w:r>
      <w:r>
        <w:rPr>
          <w:sz w:val="26"/>
          <w:szCs w:val="26"/>
        </w:rPr>
        <w:t xml:space="preserve"> № 26-3-09/109 от 19.01.2022 г.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. Результаты проведения предыдущих оценок фактического воздействия нормативного правового акта (при наличии):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не проводились.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.1. Сроки проведения публичного обсуждения нормативного правового акта: </w:t>
      </w:r>
      <w:r>
        <w:rPr>
          <w:sz w:val="26"/>
          <w:szCs w:val="26"/>
        </w:rPr>
        <w:t xml:space="preserve">не проводились.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.2. </w:t>
      </w:r>
      <w:r>
        <w:rPr>
          <w:sz w:val="26"/>
          <w:szCs w:val="26"/>
        </w:rPr>
        <w:t xml:space="preserve">Исполнительный орган </w:t>
      </w:r>
      <w:r>
        <w:rPr>
          <w:sz w:val="26"/>
          <w:szCs w:val="26"/>
        </w:rPr>
        <w:t xml:space="preserve">Белгородской </w:t>
      </w:r>
      <w:r>
        <w:rPr>
          <w:sz w:val="26"/>
          <w:szCs w:val="26"/>
        </w:rPr>
        <w:t xml:space="preserve">области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составитель </w:t>
      </w:r>
      <w:r>
        <w:rPr>
          <w:sz w:val="26"/>
          <w:szCs w:val="26"/>
        </w:rPr>
        <w:t xml:space="preserve">отчета</w:t>
      </w:r>
      <w:r>
        <w:rPr>
          <w:sz w:val="26"/>
          <w:szCs w:val="26"/>
        </w:rPr>
        <w:t xml:space="preserve"> </w:t>
        <w:br/>
        <w:t xml:space="preserve">об оценке фактического воздействия: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.3. Контактная информация об исполнителе в органе-разработчике: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3</w:t>
      </w:r>
      <w:r>
        <w:rPr>
          <w:sz w:val="26"/>
          <w:szCs w:val="26"/>
          <w:highlight w:val="none"/>
        </w:rPr>
        <w:t xml:space="preserve">.4. Дата и реквизиты заключения об оценке фактического воздействия нормативного правового акта:</w:t>
      </w:r>
      <w:r>
        <w:rPr>
          <w:sz w:val="26"/>
          <w:szCs w:val="26"/>
          <w:highlight w:val="none"/>
        </w:rPr>
        <w:t xml:space="preserve"> 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3</w:t>
      </w:r>
      <w:r>
        <w:rPr>
          <w:sz w:val="26"/>
          <w:szCs w:val="26"/>
          <w:highlight w:val="none"/>
        </w:rPr>
        <w:t xml:space="preserve">.5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  <w:highlight w:val="none"/>
        </w:rPr>
        <w:t xml:space="preserve"> Полный электронный адрес размещения документов по оценке фактического воздействия нормативного правового </w:t>
      </w:r>
      <w:r>
        <w:rPr>
          <w:sz w:val="26"/>
          <w:szCs w:val="26"/>
          <w:highlight w:val="none"/>
        </w:rPr>
        <w:t xml:space="preserve">акта</w:t>
      </w:r>
      <w:r>
        <w:rPr>
          <w:sz w:val="26"/>
          <w:szCs w:val="26"/>
          <w:highlight w:val="none"/>
        </w:rPr>
        <w:t xml:space="preserve">:</w:t>
      </w:r>
      <w:r>
        <w:rPr>
          <w:sz w:val="26"/>
          <w:szCs w:val="26"/>
          <w:highlight w:val="none"/>
        </w:rPr>
        <w:t xml:space="preserve">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Сравнительный анализ установленных в сводном </w:t>
      </w:r>
      <w:r>
        <w:rPr>
          <w:sz w:val="26"/>
          <w:szCs w:val="26"/>
        </w:rPr>
        <w:t xml:space="preserve">отчете</w:t>
      </w:r>
      <w:r>
        <w:rPr>
          <w:sz w:val="26"/>
          <w:szCs w:val="26"/>
        </w:rPr>
        <w:t xml:space="preserve"> прогнозных </w:t>
      </w:r>
      <w:r>
        <w:rPr>
          <w:sz w:val="26"/>
          <w:szCs w:val="26"/>
        </w:rPr>
        <w:t xml:space="preserve">показателей (</w:t>
      </w:r>
      <w:r>
        <w:rPr>
          <w:sz w:val="26"/>
          <w:szCs w:val="26"/>
        </w:rPr>
        <w:t xml:space="preserve">индикаторов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достижения целей и их фактических значений:</w:t>
      </w:r>
      <w:r>
        <w:rPr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tbl>
      <w:tblPr>
        <w:tblStyle w:val="879"/>
        <w:tblW w:w="9854" w:type="dxa"/>
        <w:tblLayout w:type="fixed"/>
        <w:tblLook w:val="04A0" w:firstRow="1" w:lastRow="0" w:firstColumn="1" w:lastColumn="0" w:noHBand="0" w:noVBand="1"/>
      </w:tblPr>
      <w:tblGrid>
        <w:gridCol w:w="2267"/>
        <w:gridCol w:w="1485"/>
        <w:gridCol w:w="1208"/>
        <w:gridCol w:w="1810"/>
        <w:gridCol w:w="1417"/>
        <w:gridCol w:w="1667"/>
      </w:tblGrid>
      <w:tr>
        <w:trPr>
          <w:trHeight w:val="1153"/>
        </w:trPr>
        <w:tc>
          <w:tcPr>
            <w:tcW w:w="2267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</w:rPr>
              <w:framePr w:w="9659" w:h="4839" w:hSpace="180" w:wrap="around" w:vAnchor="page" w:hAnchor="page" w:x="1731" w:y="2028" w:hRule="atLeast"/>
            </w:pPr>
            <w:r>
              <w:rPr>
                <w:b/>
                <w:spacing w:val="-4"/>
              </w:rPr>
              <w:t xml:space="preserve">Цель </w:t>
            </w:r>
            <w:r>
              <w:rPr>
                <w:b/>
                <w:spacing w:val="-4"/>
              </w:rPr>
              <w:t xml:space="preserve">регулиро</w:t>
            </w:r>
            <w:r>
              <w:rPr>
                <w:b/>
                <w:spacing w:val="-4"/>
              </w:rPr>
              <w:t xml:space="preserve">вания</w:t>
            </w:r>
            <w:r>
              <w:rPr>
                <w:b/>
                <w:spacing w:val="-4"/>
              </w:rPr>
            </w:r>
            <w:r/>
          </w:p>
        </w:tc>
        <w:tc>
          <w:tcPr>
            <w:tcW w:w="1485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  <w:framePr w:w="9659" w:h="4839" w:hSpace="180" w:wrap="around" w:vAnchor="page" w:hAnchor="page" w:x="1731" w:y="2028" w:hRule="atLeast"/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 xml:space="preserve">достижения целей регулирова-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  <w:framePr w:w="9659" w:h="4839" w:hSpace="180" w:wrap="around" w:vAnchor="page" w:hAnchor="page" w:x="1731" w:y="2028" w:hRule="atLeast"/>
            </w:pPr>
            <w:r>
              <w:rPr>
                <w:b/>
              </w:rPr>
              <w:t xml:space="preserve">ния</w:t>
            </w:r>
            <w:r>
              <w:rPr>
                <w:b/>
                <w:bCs/>
              </w:rPr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  <w:framePr w:w="9659" w:h="4839" w:hSpace="180" w:wrap="around" w:vAnchor="page" w:hAnchor="page" w:x="1731" w:y="2028" w:hRule="atLeast"/>
            </w:pPr>
            <w:r>
              <w:rPr>
                <w:b/>
              </w:rPr>
              <w:t xml:space="preserve">Способ </w:t>
            </w:r>
            <w:r>
              <w:rPr>
                <w:b/>
              </w:rPr>
              <w:t xml:space="preserve">расчета</w:t>
            </w:r>
            <w:r>
              <w:rPr>
                <w:b/>
              </w:rPr>
              <w:t xml:space="preserve"> показа-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  <w:framePr w:w="9659" w:h="4839" w:hSpace="180" w:wrap="around" w:vAnchor="page" w:hAnchor="page" w:x="1731" w:y="2028" w:hRule="atLeast"/>
            </w:pPr>
            <w:r>
              <w:rPr>
                <w:b/>
              </w:rPr>
              <w:t xml:space="preserve">теля (индика-тора)</w:t>
            </w:r>
            <w:r>
              <w:rPr>
                <w:b/>
                <w:bCs/>
              </w:rPr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  <w:framePr w:w="9659" w:h="4839" w:hSpace="180" w:wrap="around" w:vAnchor="page" w:hAnchor="page" w:x="1731" w:y="2028" w:hRule="atLeast"/>
            </w:pPr>
            <w:r>
              <w:rPr>
                <w:b/>
                <w:highlight w:val="white"/>
              </w:rPr>
              <w:t xml:space="preserve">Значение </w:t>
            </w:r>
            <w:r>
              <w:rPr>
                <w:b/>
                <w:highlight w:val="white"/>
              </w:rPr>
            </w:r>
            <w:r/>
          </w:p>
          <w:p>
            <w:pPr>
              <w:jc w:val="center"/>
              <w:rPr>
                <w:b/>
                <w:highlight w:val="white"/>
              </w:rPr>
              <w:framePr w:w="9659" w:h="4839" w:hSpace="180" w:wrap="around" w:vAnchor="page" w:hAnchor="page" w:x="1731" w:y="2028" w:hRule="atLeast"/>
            </w:pPr>
            <w:r>
              <w:rPr>
                <w:b/>
                <w:highlight w:val="white"/>
              </w:rPr>
              <w:t xml:space="preserve">до в</w:t>
            </w:r>
            <w:r>
              <w:rPr>
                <w:b/>
                <w:highlight w:val="white"/>
              </w:rPr>
              <w:t xml:space="preserve">ведения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</w:r>
            <w:r/>
          </w:p>
          <w:p>
            <w:pPr>
              <w:jc w:val="center"/>
              <w:rPr>
                <w:b/>
                <w:highlight w:val="white"/>
              </w:rPr>
              <w:framePr w:w="9659" w:h="4839" w:hSpace="180" w:wrap="around" w:vAnchor="page" w:hAnchor="page" w:x="1731" w:y="2028" w:hRule="atLeast"/>
            </w:pPr>
            <w:r>
              <w:rPr>
                <w:b/>
                <w:highlight w:val="white"/>
              </w:rPr>
              <w:t xml:space="preserve">правового регулирова-ния</w:t>
            </w:r>
            <w:r>
              <w:rPr>
                <w:b/>
                <w:highlight w:val="whit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  <w:framePr w:w="9659" w:h="4839" w:hSpace="180" w:wrap="around" w:vAnchor="page" w:hAnchor="page" w:x="1731" w:y="2028" w:hRule="atLeast"/>
            </w:pPr>
            <w:r>
              <w:rPr>
                <w:b/>
                <w:highlight w:val="white"/>
              </w:rPr>
              <w:t xml:space="preserve">Текущее значение</w:t>
            </w:r>
            <w:r>
              <w:rPr>
                <w:b/>
                <w:highlight w:val="white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  <w:framePr w:w="9659" w:h="4839" w:hSpace="180" w:wrap="around" w:vAnchor="page" w:hAnchor="page" w:x="1731" w:y="2028" w:hRule="atLeast"/>
            </w:pPr>
            <w:r>
              <w:rPr>
                <w:b/>
                <w:highlight w:val="white"/>
              </w:rPr>
              <w:t xml:space="preserve">Плано-вое значение</w:t>
            </w:r>
            <w:r>
              <w:rPr>
                <w:b/>
                <w:highlight w:val="white"/>
              </w:rPr>
            </w:r>
            <w:r/>
          </w:p>
        </w:tc>
      </w:tr>
      <w:tr>
        <w:trPr>
          <w:trHeight w:val="5032"/>
        </w:trPr>
        <w:tc>
          <w:tcPr>
            <w:tcW w:w="226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бесперебойного транспортного обслуживания населения в переходный период перераспределения полномочий, а также эффективное планирование пассажирских перевозок по муниципальным маршрутам г. Белгорода и Белгородского района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W w:w="1485" w:type="dxa"/>
            <w:textDirection w:val="lrTb"/>
            <w:noWrap w:val="false"/>
          </w:tcPr>
          <w:p>
            <w:pPr>
              <w:rPr>
                <w:bCs w:val="0"/>
              </w:rPr>
              <w:framePr w:w="9659" w:h="4839" w:hSpace="180" w:wrap="around" w:vAnchor="page" w:hAnchor="page" w:x="1731" w:y="2028" w:hRule="atLeast"/>
            </w:pP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  <w:t xml:space="preserve">Количеств</w:t>
            </w:r>
            <w:r>
              <w:rPr>
                <w:rFonts w:eastAsia="Calibri"/>
                <w:bCs/>
                <w:sz w:val="24"/>
                <w:szCs w:val="24"/>
              </w:rPr>
              <w:t xml:space="preserve">о</w:t>
            </w:r>
            <w:r>
              <w:rPr>
                <w:rFonts w:eastAsia="Calibri"/>
                <w:bCs/>
                <w:sz w:val="24"/>
                <w:szCs w:val="24"/>
              </w:rPr>
              <w:t xml:space="preserve"> выданных карт муниципальных маршрутов</w:t>
            </w:r>
            <w:r>
              <w:rPr>
                <w:bCs w:val="0"/>
              </w:rPr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framePr w:w="9659" w:h="4839" w:hSpace="180" w:wrap="around" w:vAnchor="page" w:hAnchor="page" w:x="1731" w:y="2028" w:hRule="atLeast"/>
            </w:pPr>
            <w:r>
              <w:rPr>
                <w:sz w:val="22"/>
                <w:szCs w:val="22"/>
              </w:rPr>
              <w:t xml:space="preserve">количест</w:t>
            </w:r>
            <w:r>
              <w:rPr>
                <w:sz w:val="22"/>
                <w:szCs w:val="22"/>
              </w:rPr>
              <w:t xml:space="preserve">-венный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  <w:framePr w:w="9659" w:h="4839" w:hSpace="180" w:wrap="around" w:vAnchor="page" w:hAnchor="page" w:x="1731" w:y="2028" w:hRule="atLeast"/>
            </w:pPr>
            <w:r>
              <w:rPr>
                <w:sz w:val="22"/>
                <w:szCs w:val="22"/>
                <w:highlight w:val="none"/>
              </w:rPr>
              <w:t xml:space="preserve">Существовав-шая маршрутная сеть не удовлетворяла потребностей граждан, полномочиями по транспортному обслуживанию населения обладали органы местного самоуправления</w:t>
            </w:r>
            <w:r>
              <w:rPr>
                <w:sz w:val="22"/>
                <w:szCs w:val="22"/>
                <w:highlight w:val="red"/>
              </w:rPr>
              <w:t xml:space="preserve">             </w:t>
            </w:r>
            <w:r>
              <w:rPr>
                <w:sz w:val="22"/>
                <w:szCs w:val="22"/>
                <w:highlight w:val="red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red"/>
              </w:rPr>
              <w:framePr w:w="9659" w:h="4839" w:hSpace="180" w:wrap="around" w:vAnchor="page" w:hAnchor="page" w:x="1731" w:y="2028" w:hRule="atLeast"/>
            </w:pPr>
            <w:r>
              <w:rPr>
                <w:sz w:val="22"/>
                <w:szCs w:val="22"/>
                <w:highlight w:val="none"/>
              </w:rPr>
              <w:t xml:space="preserve">В течение переходного периода выдано </w:t>
            </w:r>
            <w:r>
              <w:rPr>
                <w:sz w:val="22"/>
                <w:szCs w:val="22"/>
                <w:highlight w:val="none"/>
              </w:rPr>
              <w:t xml:space="preserve">632 карты муниципальных маршрутов</w:t>
            </w:r>
            <w:r>
              <w:rPr>
                <w:highlight w:val="red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  <w:framePr w:w="9659" w:h="4839" w:hSpace="180" w:wrap="around" w:vAnchor="page" w:hAnchor="page" w:x="1731" w:y="2028" w:hRule="atLeast"/>
            </w:pPr>
            <w:r>
              <w:rPr>
                <w:sz w:val="22"/>
                <w:szCs w:val="22"/>
                <w:highlight w:val="none"/>
              </w:rPr>
              <w:t xml:space="preserve">Проектом НПА установлен переходный период действия закона Белгородской области от 23 декабря 2021 года № 145, в течение которого планировалось выдать 632 карты муници-пальных маршрутов</w:t>
            </w:r>
            <w:r>
              <w:rPr>
                <w:sz w:val="22"/>
                <w:szCs w:val="22"/>
                <w:highlight w:val="red"/>
              </w:rPr>
            </w:r>
            <w:r/>
          </w:p>
        </w:tc>
      </w:tr>
    </w:tbl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Источники данных: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министерств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автомобильных дорог и транспорта Белгородской области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. Анализ последствий установленного правового регулирования</w:t>
      </w:r>
      <w:r>
        <w:rPr>
          <w:bCs/>
          <w:sz w:val="26"/>
          <w:szCs w:val="26"/>
        </w:rPr>
        <w:t xml:space="preserve">:</w:t>
      </w:r>
      <w:r>
        <w:rPr>
          <w:sz w:val="26"/>
          <w:szCs w:val="26"/>
        </w:rPr>
      </w:r>
      <w:r/>
    </w:p>
    <w:p>
      <w:pPr>
        <w:ind w:firstLine="709"/>
        <w:jc w:val="both"/>
        <w:tabs>
          <w:tab w:val="center" w:pos="4748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.1. </w:t>
      </w:r>
      <w:r>
        <w:rPr>
          <w:bCs/>
          <w:sz w:val="26"/>
          <w:szCs w:val="26"/>
        </w:rPr>
        <w:t xml:space="preserve">Анализ фактических положительных и отрицательных последствий установленного правового </w:t>
      </w:r>
      <w:r>
        <w:rPr>
          <w:bCs/>
          <w:sz w:val="26"/>
          <w:szCs w:val="26"/>
        </w:rPr>
        <w:t xml:space="preserve">регулирования</w:t>
      </w:r>
      <w:r>
        <w:rPr>
          <w:bCs/>
          <w:sz w:val="26"/>
          <w:szCs w:val="26"/>
        </w:rPr>
        <w:t xml:space="preserve">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551"/>
        <w:gridCol w:w="2693"/>
        <w:gridCol w:w="2264"/>
      </w:tblGrid>
      <w:tr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прогнозных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</w:t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pStyle w:val="688"/>
              <w:ind w:right="57"/>
              <w:rPr>
                <w:rFonts w:eastAsia="Calibri"/>
                <w:sz w:val="24"/>
                <w:szCs w:val="24"/>
                <w:highlight w:val="none"/>
              </w:rPr>
              <w:framePr w:hSpace="180" w:wrap="around" w:vAnchor="text" w:hAnchor="margin" w:y="69"/>
            </w:pPr>
            <w:r>
              <w:rPr>
                <w:rFonts w:eastAsia="Calibri"/>
                <w:iCs/>
                <w:sz w:val="24"/>
                <w:szCs w:val="24"/>
                <w:highlight w:val="none"/>
                <w:lang w:eastAsia="en-US"/>
              </w:rPr>
              <w:t xml:space="preserve">Перевозчики</w:t>
            </w:r>
            <w:r>
              <w:rPr>
                <w:rFonts w:eastAsia="Calibri"/>
                <w:iCs/>
                <w:sz w:val="24"/>
                <w:szCs w:val="24"/>
                <w:highlight w:val="none"/>
                <w:lang w:eastAsia="en-US"/>
              </w:rPr>
              <w:t xml:space="preserve">,  имеющие право осуществлять перевозки пассажиров и багажа автомобильным транспортом</w:t>
            </w:r>
            <w:r>
              <w:rPr>
                <w:highlight w:val="none"/>
              </w:rPr>
            </w:r>
            <w:r/>
          </w:p>
          <w:p>
            <w:pPr>
              <w:jc w:val="left"/>
              <w:rPr>
                <w:iCs/>
                <w:highlight w:val="yellow"/>
              </w:rPr>
            </w:pPr>
            <w:r>
              <w:rPr>
                <w:iCs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r>
              <w:rPr>
                <w:sz w:val="23"/>
                <w:szCs w:val="23"/>
              </w:rPr>
              <w:t xml:space="preserve">Обеспечение бесперебойного транспортного обслуживания населения в переходный период перераспределения полномочий, а также эффективное планирование пассажирских перевозок по муниципальным маршрутам г. Белгорода и Белгородского района</w:t>
            </w:r>
            <w:r>
              <w:rPr>
                <w:sz w:val="23"/>
                <w:szCs w:val="23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688"/>
              <w:ind w:right="57" w:firstLine="0"/>
              <w:rPr>
                <w:rFonts w:eastAsia="Calibri"/>
                <w:sz w:val="24"/>
                <w:szCs w:val="24"/>
                <w:lang w:eastAsia="en-US"/>
              </w:rPr>
              <w:framePr w:hSpace="180" w:wrap="around" w:vAnchor="text" w:hAnchor="margin" w:y="69"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 переходный период действия Закона Белгородской области от 27 декабря 2021 года № 145 полномочия по выдаче карт муниципальных маршрутов осуществлялись министерством автомобильных дорог и транспорта Белгородской области</w:t>
            </w:r>
            <w:r>
              <w:rPr>
                <w:rFonts w:eastAsia="Calibri"/>
                <w:iCs/>
                <w:sz w:val="24"/>
                <w:szCs w:val="24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t xml:space="preserve">Цель правового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регулирования достигнута</w:t>
            </w:r>
            <w:r/>
          </w:p>
        </w:tc>
      </w:tr>
    </w:tbl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.2. </w:t>
      </w:r>
      <w:r>
        <w:rPr>
          <w:bCs/>
          <w:sz w:val="26"/>
          <w:szCs w:val="26"/>
        </w:rPr>
        <w:t xml:space="preserve">Анализ фактических </w:t>
      </w:r>
      <w:r>
        <w:rPr>
          <w:bCs/>
          <w:sz w:val="26"/>
          <w:szCs w:val="26"/>
        </w:rPr>
        <w:t xml:space="preserve">затрат </w:t>
      </w:r>
      <w:r>
        <w:rPr>
          <w:bCs/>
          <w:sz w:val="26"/>
          <w:szCs w:val="26"/>
        </w:rPr>
        <w:t xml:space="preserve">субъектов предпринимательской и иной экономической деятельности на соблюдение</w:t>
      </w:r>
      <w:r>
        <w:rPr>
          <w:bCs/>
          <w:sz w:val="26"/>
          <w:szCs w:val="26"/>
        </w:rPr>
        <w:t xml:space="preserve"> установленного правового регулирования</w:t>
      </w:r>
      <w:r>
        <w:rPr>
          <w:bCs/>
          <w:sz w:val="26"/>
          <w:szCs w:val="26"/>
        </w:rPr>
        <w:t xml:space="preserve"> (на соблюдение обязательных требований):</w:t>
      </w:r>
      <w:r>
        <w:rPr>
          <w:sz w:val="26"/>
          <w:szCs w:val="26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547"/>
        <w:gridCol w:w="2555"/>
        <w:gridCol w:w="2264"/>
      </w:tblGrid>
      <w:tr>
        <w:trPr/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none"/>
              </w:rPr>
            </w:pPr>
            <w:r>
              <w:rPr>
                <w:b/>
                <w:iCs/>
                <w:highlight w:val="none"/>
              </w:rPr>
              <w:t xml:space="preserve">Группы заинтересованных лиц</w:t>
            </w:r>
            <w:r>
              <w:rPr>
                <w:highlight w:val="none"/>
              </w:rPr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затрат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  <w:t xml:space="preserve">П</w:t>
            </w:r>
            <w:r>
              <w:rPr>
                <w:rFonts w:eastAsia="Calibri"/>
                <w:iCs/>
                <w:sz w:val="24"/>
                <w:szCs w:val="24"/>
                <w:highlight w:val="none"/>
                <w:lang w:eastAsia="en-US"/>
              </w:rPr>
              <w:t xml:space="preserve">еревозчики</w:t>
            </w:r>
            <w:r>
              <w:rPr>
                <w:rFonts w:eastAsia="Calibri"/>
                <w:iCs/>
                <w:sz w:val="24"/>
                <w:szCs w:val="24"/>
                <w:highlight w:val="none"/>
                <w:lang w:eastAsia="en-US"/>
              </w:rPr>
              <w:t xml:space="preserve">,  имеющие право осуществлять перевозки пассажиров и багажа автомобильным транспортом</w:t>
            </w:r>
            <w:r>
              <w:rPr>
                <w:highlight w:val="none"/>
              </w:rPr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688"/>
              <w:ind w:right="57"/>
              <w:rPr>
                <w:rFonts w:eastAsia="Calibri"/>
              </w:rPr>
              <w:framePr w:hSpace="180" w:wrap="around" w:vAnchor="text" w:hAnchor="margin" w:y="69"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Р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асходы по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подготовке </w:t>
            </w:r>
            <w:r>
              <w:rPr>
                <w:sz w:val="24"/>
                <w:szCs w:val="24"/>
              </w:rPr>
              <w:t xml:space="preserve">заявки и необх</w:t>
            </w:r>
            <w:r>
              <w:rPr>
                <w:sz w:val="24"/>
                <w:szCs w:val="24"/>
              </w:rPr>
              <w:t xml:space="preserve">одимых документов на участие в процедурах определения поставщика товаров, работ, услуг в сфере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  <w:r>
              <w:rPr>
                <w:sz w:val="24"/>
                <w:szCs w:val="24"/>
              </w:rPr>
              <w:t xml:space="preserve"> составят </w:t>
            </w:r>
            <w:r>
              <w:rPr>
                <w:sz w:val="24"/>
                <w:szCs w:val="24"/>
              </w:rPr>
              <w:t xml:space="preserve">38 181,36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рубля</w:t>
            </w:r>
            <w:r>
              <w:rPr>
                <w:rFonts w:eastAsia="Calibri"/>
                <w:iCs/>
                <w:sz w:val="24"/>
                <w:szCs w:val="24"/>
              </w:rPr>
            </w:r>
            <w:r/>
          </w:p>
          <w:p>
            <w:pPr>
              <w:rPr>
                <w:b w:val="0"/>
                <w:bCs w:val="0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pStyle w:val="688"/>
              <w:ind w:right="57" w:firstLine="46"/>
              <w:rPr>
                <w:rFonts w:eastAsia="Calibri"/>
              </w:rPr>
              <w:framePr w:hSpace="180" w:wrap="around" w:vAnchor="text" w:hAnchor="margin" w:y="69"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Р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асходы по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подготовке </w:t>
            </w:r>
            <w:r>
              <w:rPr>
                <w:sz w:val="24"/>
                <w:szCs w:val="24"/>
              </w:rPr>
              <w:t xml:space="preserve">заявки и необх</w:t>
            </w:r>
            <w:r>
              <w:rPr>
                <w:sz w:val="24"/>
                <w:szCs w:val="24"/>
              </w:rPr>
              <w:t xml:space="preserve">одимых документов на участие в процедурах определения поставщика товаров, работ, услуг в сфере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  <w:r>
              <w:rPr>
                <w:sz w:val="24"/>
                <w:szCs w:val="24"/>
              </w:rPr>
              <w:t xml:space="preserve"> составили </w:t>
            </w:r>
            <w:r>
              <w:rPr>
                <w:sz w:val="24"/>
                <w:szCs w:val="24"/>
              </w:rPr>
              <w:t xml:space="preserve">38 181,36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рубля</w:t>
            </w:r>
            <w:r>
              <w:rPr>
                <w:rFonts w:eastAsia="Calibri"/>
                <w:iCs/>
                <w:sz w:val="24"/>
                <w:szCs w:val="24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Расходы по подготовке документов на участие в процедурах определения </w:t>
            </w:r>
            <w:r>
              <w:rPr>
                <w:sz w:val="24"/>
                <w:szCs w:val="24"/>
              </w:rPr>
              <w:t xml:space="preserve">поставщика товаров, работ, услуг в сфере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  <w:r>
              <w:rPr>
                <w:sz w:val="24"/>
                <w:szCs w:val="24"/>
              </w:rPr>
              <w:t xml:space="preserve"> не изменились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5.3. Анализ расходов (возможных поступлений) консолидированного бюджета </w:t>
      </w:r>
      <w:r>
        <w:rPr>
          <w:bCs/>
          <w:sz w:val="26"/>
          <w:szCs w:val="26"/>
        </w:rPr>
        <w:t xml:space="preserve">Белгородской области:</w:t>
      </w:r>
      <w:r>
        <w:rPr>
          <w:sz w:val="26"/>
          <w:szCs w:val="26"/>
        </w:rPr>
      </w:r>
      <w:r/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30"/>
        <w:gridCol w:w="1984"/>
        <w:gridCol w:w="2265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</w:t>
            </w:r>
            <w:r>
              <w:rPr>
                <w:b/>
                <w:iCs/>
              </w:rPr>
              <w:t xml:space="preserve">консолидированного бюджета Белгородской области</w:t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ланов</w:t>
            </w:r>
            <w:r>
              <w:rPr>
                <w:b/>
              </w:rPr>
              <w:t xml:space="preserve">ая 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Фактическая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расх</w:t>
            </w:r>
            <w:bookmarkStart w:id="4" w:name="_GoBack"/>
            <w:r/>
            <w:bookmarkEnd w:id="4"/>
            <w:r>
              <w:rPr>
                <w:b/>
              </w:rPr>
              <w:t xml:space="preserve">одов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  <w:t xml:space="preserve">Расходы консолидированного бюджета Белгородской области не предусмотрены</w:t>
            </w:r>
            <w:r>
              <w:rPr>
                <w:highlight w:val="none"/>
              </w:rPr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pStyle w:val="688"/>
              <w:ind w:firstLine="709"/>
              <w:jc w:val="both"/>
              <w:rPr>
                <w:rFonts w:eastAsia="Calibri"/>
                <w:lang w:eastAsia="en-US"/>
              </w:rPr>
              <w:framePr w:hSpace="180" w:wrap="around" w:vAnchor="text" w:hAnchor="margin" w:y="58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1 952,4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88"/>
              <w:ind w:firstLine="709"/>
              <w:jc w:val="both"/>
              <w:rPr>
                <w:rFonts w:eastAsia="Calibri"/>
                <w:highlight w:val="none"/>
              </w:rPr>
              <w:framePr w:hSpace="180" w:wrap="around" w:vAnchor="text" w:hAnchor="margin" w:y="58"/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1 952,4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Не изменились</w:t>
            </w:r>
            <w:r/>
          </w:p>
        </w:tc>
      </w:tr>
    </w:tbl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. Оценка соблюдения принципов установления и оценки применения обязательных требований</w:t>
      </w:r>
      <w:r>
        <w:rPr>
          <w:bCs/>
          <w:sz w:val="26"/>
          <w:szCs w:val="26"/>
        </w:rPr>
        <w:t xml:space="preserve">:</w:t>
      </w:r>
      <w:r>
        <w:rPr>
          <w:sz w:val="26"/>
          <w:szCs w:val="26"/>
        </w:rPr>
        <w:t xml:space="preserve"> нормативным правовым актом обязательные требования не устанавливались.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  <w:u w:val="single"/>
        </w:rPr>
      </w:pPr>
      <w:r>
        <w:rPr>
          <w:bCs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 Иные сведения, позволяющие оценить фактическое воздействие: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остановление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Правительства Белгородской области от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 27 декабря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 </w:t>
        <w:br/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2021 года № 683-пп «О порядке реализации закона Белгородской области </w:t>
        <w:br/>
        <w:t xml:space="preserve">от </w:t>
      </w:r>
      <w:r>
        <w:rPr>
          <w:sz w:val="26"/>
          <w:szCs w:val="26"/>
        </w:rPr>
        <w:t xml:space="preserve">23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декабря 2021 года № 145 «О перераспределении полномочий по организации регулярных перевозок пассажиров и багажа автомобильным транс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white"/>
        </w:rPr>
        <w:t xml:space="preserve">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»</w:t>
      </w:r>
      <w:r>
        <w:rPr>
          <w:sz w:val="26"/>
          <w:szCs w:val="26"/>
          <w:highlight w:val="none"/>
        </w:rPr>
        <w:t xml:space="preserve"> принято в целях обеспечения бесперебойного транспортного обслуживания населения г. Белгорода и Белгородского района при</w:t>
      </w:r>
      <w:r>
        <w:rPr>
          <w:sz w:val="26"/>
          <w:szCs w:val="26"/>
          <w:highlight w:val="none"/>
        </w:rPr>
        <w:t xml:space="preserve"> перераспредении полномочий между органами местного самоуправления и исполнительными органами Белгородской области. Существовавшая до этого маршрутная сеть не удовлетворяла потребности населения и нуждалась в совершенствовании. В переходный период министер</w:t>
      </w:r>
      <w:r>
        <w:rPr>
          <w:sz w:val="26"/>
          <w:szCs w:val="26"/>
          <w:highlight w:val="none"/>
        </w:rPr>
        <w:t xml:space="preserve">ством автомобильных дорог и транспорта Белгородской области выдано 632 карты муниципальных маршрутов, действие которых начиналось с 1 июля 2022 года, тем самым было обеспечено бесперебойное транспортное обслуживание. Цель правового регулирования достигнута</w:t>
      </w:r>
      <w:r>
        <w:rPr>
          <w:sz w:val="26"/>
          <w:szCs w:val="26"/>
          <w:highlight w:val="none"/>
        </w:rPr>
      </w:r>
      <w:r/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.1. Иные сведения: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отсутствует</w:t>
      </w:r>
      <w:r>
        <w:rPr>
          <w:sz w:val="26"/>
          <w:szCs w:val="26"/>
        </w:rPr>
      </w:r>
      <w:r/>
    </w:p>
    <w:p>
      <w:pPr>
        <w:ind w:firstLine="709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.2. Источники данных: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министерство автомобильных дорог и транспорта Белгородской области.</w:t>
      </w:r>
      <w:r>
        <w:rPr>
          <w:sz w:val="26"/>
          <w:szCs w:val="26"/>
        </w:rPr>
      </w:r>
      <w:r/>
    </w:p>
    <w:p>
      <w:pPr>
        <w:ind w:firstLine="709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Руководитель органа-разработчика</w:t>
      </w:r>
      <w:r>
        <w:rPr>
          <w:sz w:val="26"/>
          <w:szCs w:val="26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29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9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9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709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98"/>
    <w:link w:val="712"/>
    <w:uiPriority w:val="10"/>
    <w:rPr>
      <w:sz w:val="48"/>
      <w:szCs w:val="48"/>
    </w:rPr>
  </w:style>
  <w:style w:type="character" w:styleId="664">
    <w:name w:val="Subtitle Char"/>
    <w:basedOn w:val="698"/>
    <w:link w:val="714"/>
    <w:uiPriority w:val="11"/>
    <w:rPr>
      <w:sz w:val="24"/>
      <w:szCs w:val="24"/>
    </w:rPr>
  </w:style>
  <w:style w:type="character" w:styleId="665">
    <w:name w:val="Quote Char"/>
    <w:link w:val="716"/>
    <w:uiPriority w:val="29"/>
    <w:rPr>
      <w:i/>
    </w:rPr>
  </w:style>
  <w:style w:type="character" w:styleId="666">
    <w:name w:val="Intense Quote Char"/>
    <w:link w:val="718"/>
    <w:uiPriority w:val="30"/>
    <w:rPr>
      <w:i/>
    </w:rPr>
  </w:style>
  <w:style w:type="table" w:styleId="667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8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1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4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5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6">
    <w:name w:val="Footnote Text Char"/>
    <w:link w:val="850"/>
    <w:uiPriority w:val="99"/>
    <w:rPr>
      <w:sz w:val="18"/>
    </w:rPr>
  </w:style>
  <w:style w:type="character" w:styleId="687">
    <w:name w:val="Endnote Text Char"/>
    <w:link w:val="853"/>
    <w:uiPriority w:val="99"/>
    <w:rPr>
      <w:sz w:val="20"/>
    </w:rPr>
  </w:style>
  <w:style w:type="paragraph" w:styleId="688" w:default="1">
    <w:name w:val="Normal"/>
    <w:qFormat/>
    <w:rPr>
      <w:sz w:val="24"/>
      <w:szCs w:val="24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98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basedOn w:val="698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698"/>
    <w:uiPriority w:val="99"/>
  </w:style>
  <w:style w:type="character" w:styleId="721" w:customStyle="1">
    <w:name w:val="Footer Char"/>
    <w:basedOn w:val="698"/>
    <w:uiPriority w:val="99"/>
  </w:style>
  <w:style w:type="paragraph" w:styleId="722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Таблица простая 1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Таблица простая 21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Таблица простая 3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Таблица простая 4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 простая 5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Таблица-сетка 1 светлая1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-сетка 2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3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41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 w:customStyle="1">
    <w:name w:val="Таблица-сетка 5 темная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5" w:customStyle="1">
    <w:name w:val="Таблица-сетк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Таблица-сетка 7 цветная1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Список-таблица 1 светлая1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Список-таблица 21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Список-таблица 3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4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Список-таблица 5 темная1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Список-таблиц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 w:customStyle="1">
    <w:name w:val="Список-таблица 7 цветная1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ned - Accent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9" w:customStyle="1">
    <w:name w:val="Lined - Accent 1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0" w:customStyle="1">
    <w:name w:val="Lined - Accent 2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1" w:customStyle="1">
    <w:name w:val="Lined - Accent 3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2" w:customStyle="1">
    <w:name w:val="Lined - Accent 4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3" w:customStyle="1">
    <w:name w:val="Lined - Accent 5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34" w:customStyle="1">
    <w:name w:val="Lined - Accent 6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35" w:customStyle="1">
    <w:name w:val="Bordered &amp; Lined - Accent"/>
    <w:basedOn w:val="69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6" w:customStyle="1">
    <w:name w:val="Bordered &amp; Lined - Accent 1"/>
    <w:basedOn w:val="69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7" w:customStyle="1">
    <w:name w:val="Bordered &amp; Lined - Accent 2"/>
    <w:basedOn w:val="69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8" w:customStyle="1">
    <w:name w:val="Bordered &amp; Lined - Accent 3"/>
    <w:basedOn w:val="69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9" w:customStyle="1">
    <w:name w:val="Bordered &amp; Lined - Accent 4"/>
    <w:basedOn w:val="69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0" w:customStyle="1">
    <w:name w:val="Bordered &amp; Lined - Accent 5"/>
    <w:basedOn w:val="69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1" w:customStyle="1">
    <w:name w:val="Bordered &amp; Lined - Accent 6"/>
    <w:basedOn w:val="69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2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8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8"/>
    <w:uiPriority w:val="99"/>
    <w:unhideWhenUsed/>
    <w:rPr>
      <w:vertAlign w:val="superscript"/>
    </w:rPr>
  </w:style>
  <w:style w:type="paragraph" w:styleId="853">
    <w:name w:val="endnote text"/>
    <w:basedOn w:val="688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8"/>
    <w:uiPriority w:val="99"/>
    <w:semiHidden/>
    <w:unhideWhenUsed/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spacing w:after="57"/>
    </w:pPr>
  </w:style>
  <w:style w:type="paragraph" w:styleId="857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8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9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0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1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2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3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4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8"/>
    <w:next w:val="688"/>
    <w:uiPriority w:val="99"/>
    <w:unhideWhenUsed/>
  </w:style>
  <w:style w:type="table" w:styleId="867">
    <w:name w:val="Table Grid"/>
    <w:basedOn w:val="6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69">
    <w:name w:val="Balloon Text"/>
    <w:basedOn w:val="688"/>
    <w:semiHidden/>
    <w:rPr>
      <w:rFonts w:ascii="Tahoma" w:hAnsi="Tahoma" w:cs="Tahoma"/>
      <w:sz w:val="16"/>
      <w:szCs w:val="16"/>
    </w:rPr>
  </w:style>
  <w:style w:type="paragraph" w:styleId="870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1">
    <w:name w:val="Header"/>
    <w:basedOn w:val="688"/>
    <w:link w:val="872"/>
    <w:uiPriority w:val="99"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link w:val="871"/>
    <w:uiPriority w:val="99"/>
    <w:rPr>
      <w:sz w:val="24"/>
      <w:szCs w:val="24"/>
    </w:rPr>
  </w:style>
  <w:style w:type="paragraph" w:styleId="873">
    <w:name w:val="Footer"/>
    <w:basedOn w:val="688"/>
    <w:link w:val="874"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link w:val="873"/>
    <w:rPr>
      <w:sz w:val="24"/>
      <w:szCs w:val="24"/>
    </w:rPr>
  </w:style>
  <w:style w:type="paragraph" w:styleId="875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76" w:customStyle="1">
    <w:name w:val="Сетка таблицы1"/>
    <w:basedOn w:val="699"/>
    <w:next w:val="86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78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79" w:customStyle="1">
    <w:name w:val="Сетка таблицы2"/>
    <w:basedOn w:val="699"/>
    <w:next w:val="86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0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1" w:customStyle="1">
    <w:name w:val="Сетка таблицы11"/>
    <w:basedOn w:val="699"/>
    <w:next w:val="86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://minecprom.belregion.ru/deyatelnost/ocenka-reguliruyushego-vozdejstviya/publichnye-konsultacii/ocenka-reguliruyushego-vozd645tviya-pro5kta-postan/," TargetMode="External"/><Relationship Id="rId13" Type="http://schemas.openxmlformats.org/officeDocument/2006/relationships/hyperlink" Target="https://belgorodinvest.com/docs/doc/11702/," TargetMode="External"/><Relationship Id="rId14" Type="http://schemas.openxmlformats.org/officeDocument/2006/relationships/hyperlink" Target="http://beluprdor.ru/deyatelnost1/ocenka-reguliruyushego-vozdejstv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C6B2CFE-C15C-416B-BC27-9DAC26040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kozlova_ev</dc:creator>
  <cp:revision>26</cp:revision>
  <dcterms:created xsi:type="dcterms:W3CDTF">2024-06-03T13:10:00Z</dcterms:created>
  <dcterms:modified xsi:type="dcterms:W3CDTF">2025-04-03T13:26:28Z</dcterms:modified>
</cp:coreProperties>
</file>