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Затраты хозяйствующих субъектов на соблюдение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</w:r>
      <w:r/>
    </w:p>
    <w:p>
      <w:pPr>
        <w:ind w:firstLine="709"/>
        <w:jc w:val="center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 обязательного требования по обеспечению </w:t>
      </w:r>
      <w:r>
        <w:rPr>
          <w:rFonts w:ascii="Times New Roman" w:hAnsi="Times New Roman"/>
          <w:b/>
          <w:bCs/>
          <w:sz w:val="26"/>
          <w:szCs w:val="26"/>
        </w:rPr>
        <w:t xml:space="preserve">доступности для маломобильных групп населения </w:t>
      </w:r>
      <w:r>
        <w:rPr>
          <w:rFonts w:ascii="Times New Roman" w:hAnsi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(средняя стоимость оборудования в 2024 г. согласно данным в информационной сети Интернет)</w:t>
      </w:r>
      <w:r>
        <w:rPr>
          <w:b w:val="0"/>
          <w:bCs w:val="0"/>
          <w:sz w:val="20"/>
          <w:szCs w:val="20"/>
          <w:highlight w:val="none"/>
        </w:rPr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54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u w:val="single"/>
          <w:lang w:eastAsia="ru-RU"/>
        </w:rPr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Оборудование для обустройства входной группы и прилегающих территорий: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</w:r>
      <w:r/>
    </w:p>
    <w:p>
      <w:pPr>
        <w:pStyle w:val="634"/>
        <w:ind w:left="0" w:right="0" w:firstLine="0"/>
        <w:jc w:val="left"/>
        <w:spacing w:before="0" w:after="30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 Беспроводная кнопка вызова помощи А310 - 9200 руб.;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- Откидной пандус из оцинкованной стали, длиной до 2,5 м. - 19000 руб;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- Тактильные пиктограммы (вывески, таблички) с азбукой Брайля - 9610 руб.;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- Тактильная плитка для помещений (10 шт. по 170 руб) - 17000 руб.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Оборудование внутри помещений:</w:t>
      </w:r>
      <w:r>
        <w:rPr>
          <w:u w:val="single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Пандус для преодоления препятствий и порогов - 7100 руб.;                                                     -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Тактильный знак пиктограмма СП-101-2001 (4 шт. по 1230 руб.) - 4920 руб.                 </w:t>
      </w:r>
      <w:r>
        <w:rPr>
          <w:rFonts w:ascii="Times New Roman" w:hAnsi="Times New Roman" w:eastAsia="Tahoma" w:cs="Times New Roman"/>
          <w:b/>
          <w:bCs/>
          <w:color w:val="000000" w:themeColor="text1"/>
          <w:sz w:val="26"/>
          <w:szCs w:val="26"/>
        </w:rPr>
        <w:t xml:space="preserve">Общая стоимость затрат: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66,83 тыс. руб.*130 ед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.= 8678,9 тыс. руб. (единоразово).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/>
    </w:p>
    <w:p>
      <w:pPr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Возможная упущенная выгода хозяйствующих субъектов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от альтернативного варианта нормативного регулирования - установление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запрета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розничной продажи алкогольной продукции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в сезонных залах (зонах) обслуживания посетителей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при оказании услуг общественного питания.</w:t>
      </w:r>
      <w:r/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В среднем за 1 час реализуется 2 л. крепкой алкогольной продукции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средней цене за 1 л. 600 руб</w:t>
      </w:r>
      <w:r>
        <w:rPr>
          <w:rFonts w:ascii="Times New Roman" w:hAnsi="Times New Roman" w:cs="Times New Roman"/>
          <w:sz w:val="26"/>
          <w:szCs w:val="26"/>
        </w:rPr>
        <w:t xml:space="preserve">лей</w:t>
      </w:r>
      <w:r>
        <w:rPr>
          <w:rFonts w:ascii="Times New Roman" w:hAnsi="Times New Roman" w:cs="Times New Roman"/>
          <w:sz w:val="26"/>
          <w:szCs w:val="26"/>
        </w:rPr>
        <w:t xml:space="preserve"> и 3 л. пива и пивных напитков по средней цене </w:t>
      </w:r>
      <w:r>
        <w:rPr>
          <w:rFonts w:ascii="Times New Roman" w:hAnsi="Times New Roman" w:cs="Times New Roman"/>
          <w:sz w:val="26"/>
          <w:szCs w:val="26"/>
        </w:rPr>
        <w:br/>
        <w:t xml:space="preserve">за 1 л. 300 руб</w:t>
      </w:r>
      <w:r>
        <w:rPr>
          <w:rFonts w:ascii="Times New Roman" w:hAnsi="Times New Roman" w:cs="Times New Roman"/>
          <w:sz w:val="26"/>
          <w:szCs w:val="26"/>
        </w:rPr>
        <w:t xml:space="preserve">лей.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Установление запрета на продажу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алкогольной продукции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в сезонных залах (зонах) обслуживания посетителей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сократит выручку объекта торговли минимум в 2 раза: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Возможная упущенная выгода (выручка)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сезонного зала (зоны) обслуживания посетителей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попадающих в зону действия ограничений, при полном запрете на продажу алкогольных напитков составит: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залов (зон) обслуживания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, реализующих алкогольную продукцию: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24 л. * 600 руб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* 30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дн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*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40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ед. =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17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280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,0 тыс. руб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./2 = 8640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тыс. руб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в месяц;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залов (зон) обслуживания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, реализующих пиво и пивные напитки: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36 л. * 300 руб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* 30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дн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* 90 ед. = 29160,0 тыс./2 = 14580 тыс. руб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. в месяц.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Размер упущенной выгоды (выручки)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130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залов (зон) обслуживания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(из расчета полного запрета продажи алкогольной продукции) за месяц – 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23220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 тыс. руб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лей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Таким образом, согласно расчетным данным,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соответствие установленным требованиям может повлечь дополнительные затраты хозяйствующих субъектов в размере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8678,9 тыс. руб.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(единоразово).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В случае же полного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запрета продажи алкогольной продукции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Arial" w:cs="Times New Roman"/>
          <w:sz w:val="26"/>
          <w:szCs w:val="26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залах (зонах) обслуживания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- упущенная выгода (выручка)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составит 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23220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 тыс. руб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(в месяц).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bCs/>
          <w:highlight w:val="none"/>
        </w:rPr>
      </w:r>
      <w:r>
        <w:rPr>
          <w:rFonts w:ascii="Times New Roman" w:hAnsi="Times New Roman" w:eastAsia="Times New Roman" w:cs="Times New Roman"/>
          <w:bCs/>
          <w:highlight w:val="none"/>
        </w:rPr>
      </w:r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709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2024-12-03T12:06:36Z</dcterms:modified>
</cp:coreProperties>
</file>