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b/>
          <w:sz w:val="26"/>
          <w:szCs w:val="26"/>
        </w:rPr>
        <w:t xml:space="preserve">закона Белгородской области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left="708" w:firstLine="1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highlight w:val="none"/>
          <w:u w:val="single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закона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Белгородской области): </w:t>
      </w:r>
      <w:r>
        <w:rPr>
          <w:rFonts w:ascii="Times New Roman" w:hAnsi="Times New Roman" w:eastAsia="Calibri" w:cs="Times New Roman"/>
          <w:i/>
          <w:sz w:val="26"/>
          <w:szCs w:val="26"/>
          <w:highlight w:val="none"/>
          <w:u w:val="single"/>
          <w:lang w:eastAsia="ru-RU"/>
        </w:rPr>
        <w:t xml:space="preserve">Депутат Белгородской областной Думы, первый заместитель председателя Белгородской областной Думы Киреева Любовь Петровна.</w:t>
      </w:r>
      <w:r>
        <w:rPr>
          <w:highlight w:val="yellow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закона Белгородской области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Проект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закона Белгородской области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«О внесении изменений в закон Белгородской области «Об ограничениях в сфере розничной продажи тонизирующих напитков» и статью 2.22 закона Белгородской области «Об административных правонарушениях на территории Белгородской области»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начало: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«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31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января 2025 г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окончание: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«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13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февраля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202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5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г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закона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с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Проект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закона Белгородской области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, в дополнение к уже установленному законом Белгородской области от 30 октября 2014 года № 311 «Об ограничениях в сфере розничной продажи тонизирующих напитков» запре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ту продажи безалкогольных тонизирующих напитков (в том числе энергетических) в зданиях, строениях сооружениях, помещениях, используемых для непосредственного осуществления образовательной деятельности, медицинской деятельности, физической культуры и спорта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, а также в местах проведения культурно-массовых мероприятий,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предлагает установить запрет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на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продаж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у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безалкогольных тонизирующих напитков (в том числе энергетических) в зданиях, строениях сооружениях, помещениях, используемых для непосредственного осуществления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деятел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ьности в области культуры.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Остальные положения проекта закона Белгородской области направлены на приведение законов Белгородской области в сфере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продажи безалкогольных тонизирующих напитков (в том числе энергетических)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в соответствие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с нормами Федерального закона от 8 августа 2024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(составителе отчета об ОРВ):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Леонюк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Сергей Сергеевич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лжность: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заместитель начальника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отдела регионального контроля департамента потребительского рынка министерства сельского хозяйства и продовольствия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z w:val="26"/>
          <w:szCs w:val="26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(4722) 32-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51-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</w:rPr>
        <w:t xml:space="preserve">89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r>
      <w:hyperlink r:id="rId12" w:tooltip="http://leonuk@belapk.ru" w:history="1">
        <w:r>
          <w:rPr>
            <w:rStyle w:val="841"/>
            <w:rFonts w:ascii="Times New Roman" w:hAnsi="Times New Roman" w:eastAsia="Times New Roman" w:cs="Times New Roman"/>
            <w:i/>
            <w:sz w:val="26"/>
            <w:szCs w:val="26"/>
          </w:rPr>
          <w:t xml:space="preserve">leonuk</w:t>
        </w:r>
        <w:r>
          <w:rPr>
            <w:rStyle w:val="841"/>
            <w:rFonts w:ascii="Times New Roman" w:hAnsi="Times New Roman" w:eastAsia="Times New Roman" w:cs="Times New Roman"/>
            <w:i/>
            <w:sz w:val="26"/>
            <w:szCs w:val="26"/>
          </w:rPr>
          <w:t xml:space="preserve">@belapk.ru</w:t>
        </w:r>
        <w:r>
          <w:rPr>
            <w:rStyle w:val="841"/>
          </w:rPr>
        </w:r>
      </w:hyperlink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u w:val="single"/>
        </w:rPr>
        <w:t xml:space="preserve">Контактные данные лица, ответственного за разработку проекта закона: консультант отдела законотворческой деятельности и правового мониторинга правового управления аппарата Белгородской областной Думы Горьянова Ольга Олеговна; тел.: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(4722) 32-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17-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u w:val="single"/>
        </w:rPr>
        <w:t xml:space="preserve">08</w:t>
      </w:r>
      <w:r>
        <w:rPr>
          <w:rFonts w:ascii="Times New Roman" w:hAnsi="Times New Roman" w:eastAsia="Times New Roman" w:cs="Times New Roman"/>
          <w:i/>
          <w:sz w:val="26"/>
          <w:szCs w:val="26"/>
          <w:highlight w:val="none"/>
          <w:u w:val="singl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В последние годы в целом по стране наблюдается рост производства безалкогольных тонизирующих напитков или так называемых «энергетиков».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Увеличение темпов их производства напрямую обусловлено повышенным спросом на указанную продукцию, особенно, среди подростков и молодёжи. Популярность «энергетиков» активно поддерживается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рекламными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средствами различного характера.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Неконтролируемое употребление безалкогольных тонизирующих напитков многократно усиливает риск токсического,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мутагенного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и канцерогенного действия на человека. Все это в немалой степени способствует снижению уровня средней продолжительности жизни и росту показателя преждевременной смертности населения.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В Ро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ссийской Федерации до недавнего времени не был принят федеральный закон, регулирующий деятельность в сфере розничной продажи безалкогольных тонизирующих (в том числе энергетических) напитков. Между тем, в подобном регулировании стояла острая необходимость.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В Белгородской области, наряду с 64 субъектами Российской Федерации с 2014 года действует закон Белгородской области «Об ограничениях в сфере розничной продажи тонизирующих напитков»,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которым установлен ряд ограничений в сфере розничной продажи безалкогольных тонизирующих напитков, в соответствии с которыми не допускается розничная продажа безалкогольных тонизирующих напитков: несовершеннолетним; в детских, образовательных и медицинских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организациях; на объектах спорта; в местах проведения культурно-массовых мероприятий.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Представленный проект закона области разработан в целях реализации Федерального закона от 8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 августа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2024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года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чной власти в субъектах Российской Федерации», который на федеральном уровне установил запрет продажи несовершеннолетним безалкогольных тонизирующих напитков (в том числе энергетических) и наделил субъекты Российской Федерации правом устанавливать законом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субъекта запрет продажи безалкогольных тонизирующих напитков (в том числе энергетических) в определённых объектах, аналогичных тем, которые закреплены указанным законом области на сегодняшний день, а также ограничения времени и мест продажи таких напитков.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-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формирование культуры массового потребления тонизирующих напитков (в том числе энергетических) в подростковой и молодёжной среде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-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низкая степень просвещённости граждан о вреде употребления безалкогольных тонизирующих напитков (в том числе энергетических);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- длительное отсутствие правового регулирования в сфере продажи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безалкогольных тонизирующих напитков (в том числе энергетических)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на федеральном уровне.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Потребление безалкогольных тонизирующих напитков в большом количестве наносит безусловный вред здоровью людей, вызывает бессонницу, утомление, быстрое истощение ресурсов организма, проблемы с сердечно-сосудистой системой.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Некоторые исследования связывают употребление энергетических напитков с увеличением риска развития инсультов у молодых людей, поскольку высокое содержание кофеина в этих напитках может способствовать повышению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артериального давления и сужению сосудов, что в свою очередь увеличивает вероятность развития инсульта.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Кроме того, регулярное потребление безалкогольных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тонизирующих напитков (в том числе энергетических) формирует, в первую очередь у молодых людей, соответствующую зависимость от них, проявляющуюся в слабости, вялости, раздражительности, а также способно вызвать обострение нервных и психических заболеваний.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 соответствующих сфе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</w:t>
      </w:r>
      <w:r>
        <w:rPr>
          <w:rFonts w:ascii="Times New Roman" w:hAnsi="Times New Roman" w:eastAsia="Calibri" w:cs="Times New Roman"/>
          <w:sz w:val="26"/>
          <w:szCs w:val="26"/>
        </w:rPr>
        <w:t xml:space="preserve">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Проведенный анализ законодательства субъектов Российской Федерации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br/>
        <w:t xml:space="preserve">показал, что право субъектов Российской Федерации на установление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запретов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продажи безалкогольных тонизиру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уже реализовано в более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чем в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10 регионах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. Разработаны о проходят оценку регулирующего воздействия проекты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законов, а также уже приняты законы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 субъектах Российской Федерации, в том числе таких как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Воронежская, Волгоградская, Кировская, Пензенская, Омская и Амурская область, Ставропольский, Забайкальский и Хабаровский край, республики Алтай и Бурятия.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С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окращени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е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 объёма потребляемых населением Белгородской области,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в том числе молодёжью, безалкогольных тонизирующих напитков и как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следствие этого оздоровление населения в целом и снижение количества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противоправных действий, совершаемых в состоянии возбуждения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центральной нервной системы в результате употребления таких напитков.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Представленный проект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закона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Белгородской области подготовлен в целях реализации положений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Федерального закона от 8 августа 2024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eastAsia="ru-RU" w:bidi="ru-RU"/>
        </w:rPr>
        <w:t xml:space="preserve">,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кот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орым узаконен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право субъекта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Российской Федерации на введение запретов и ограничений в области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торговли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безалкогольных тонизирующих напитков (в том числе энергетических)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январь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202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6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улирования: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о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тсутствует.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left="0" w:right="0" w:firstLine="0"/>
        <w:jc w:val="both"/>
        <w:spacing w:after="0" w:line="240" w:lineRule="auto"/>
        <w:rPr>
          <w:bCs/>
          <w:i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Проектом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закона Белгородской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области устанавлива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е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тся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запрет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продажи безалкогольных тонизирующих напитков (в том числе энергетических)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в зданиях, строениях, сооружениях, помещениях, используемых для непосредственного осуществления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деятельности в области культуры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.</w:t>
      </w:r>
      <w:r>
        <w:rPr>
          <w:i/>
          <w:iCs/>
          <w:sz w:val="26"/>
          <w:szCs w:val="26"/>
          <w:u w:val="single"/>
        </w:rPr>
      </w:r>
      <w:r>
        <w:rPr>
          <w:i/>
          <w:iCs/>
          <w:sz w:val="26"/>
          <w:szCs w:val="26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eastAsia="ru-RU"/>
        </w:rPr>
        <w:t xml:space="preserve">тсутствует.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eastAsia="ru-RU"/>
        </w:rPr>
        <w:t xml:space="preserve">Оптимальным вариантом решения проблемы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  <w:lang w:eastAsia="ru-RU"/>
        </w:rPr>
        <w:t xml:space="preserve"> считает принятие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проекта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зак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она Белгородской области «О внесении изменений в закон Белгородской области «Об ограничениях в сфере розничной продажи тонизирующих напитков» и статью 2.22 закона Белгородской области «Об административных правонарушениях на территории Белгородской области»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Принятие проекта закона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позволит создать оптимальные условия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 для достижения цели по снижению неконтролируемого употребления безалкогольных тонизирующих напитков (в том числе энергетических) среди подростков и молодежи.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  <w:t xml:space="preserve">Предлагаемый проектом закона запрет коснется только тех хозяйствующих субъектов, коммерческая деятельность которых осуществляется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в зданиях, строениях, сооружениях, помещениях, используемых для непосредственного осуществления деятельности в области культуры.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4"/>
        <w:gridCol w:w="34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4" w:type="dxa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Организации, индивидуальные предприниматели, крестьянские (фермерские) хозяйства без образования юридического лица, граждане Российской Федерации, иностранные граждане и лица без гражданства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, осуществляющие розничную продажу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зданиях, строениях, сооружениях, помещениях, используемых для непосредственного осуществления деятельности в области культуры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Не менее 1453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544"/>
        <w:gridCol w:w="297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рублей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Организации, индивидуальные предприниматели, крестьянские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(фермерские) хозяйства без образования юридического лица, граждане Российской Федерации, иностранные граждане и лица без гражданства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, осуществляющие розничную продажу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 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зданиях, строениях, сооружениях, помещениях, используемых для непосредственного осуществления деятельности в области культуры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Преимущества: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снижение неконтролируемого употребления безалкогольных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тонизирующих напитков (в том числе энергетических) среди подростков и молодежи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;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- повышение уровня средней продолжительности жизни и уменьшение показателя преждевременной смертности населения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Ограничения: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- запрет продаж хозяйствующими субъектами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зданиях, строениях, сооружениях, помещениях, используемых для непосредственного осуществления деятельности в области культуры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i/>
                <w:spacing w:val="-6"/>
                <w:sz w:val="26"/>
                <w:szCs w:val="26"/>
                <w:lang w:eastAsia="ru-RU"/>
              </w:rPr>
              <w:t xml:space="preserve">Возможная упущенная выгода (выручка) хозяйствующих субъектов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осуществляющих 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розничную продажу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зданиях, строениях, сооружениях, помещениях, используемых для непосредственного осуществления деятельности в области культуры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 на территории Белгородской области</w:t>
            </w: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/>
                <w:i/>
                <w:spacing w:val="-6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i/>
                <w:spacing w:val="-6"/>
                <w:sz w:val="28"/>
                <w:szCs w:val="28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/>
                <w:i/>
                <w:spacing w:val="-6"/>
                <w:sz w:val="28"/>
                <w:szCs w:val="28"/>
                <w:lang w:eastAsia="ru-RU"/>
              </w:rPr>
              <w:t xml:space="preserve">79</w:t>
            </w:r>
            <w:r>
              <w:rPr>
                <w:rFonts w:ascii="Times New Roman" w:hAnsi="Times New Roman" w:eastAsia="Times New Roman"/>
                <w:i/>
                <w:spacing w:val="-6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i/>
                <w:spacing w:val="-6"/>
                <w:sz w:val="28"/>
                <w:szCs w:val="28"/>
                <w:lang w:eastAsia="ru-RU"/>
              </w:rPr>
              <w:t xml:space="preserve"> млн руб. в месяц.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252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Региональный государственный контроль (надзор) в области продажи 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будет осуществляться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министерством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i/>
                <w:sz w:val="26"/>
                <w:szCs w:val="26"/>
              </w:rPr>
              <w:t xml:space="preserve">Дополнительные трудозатраты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рублей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Функции министерства будут осуществляться в рамках установленных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полномочий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Финансирование на 2025 год не предусмотрено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Предусмотрен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запрет на </w:t>
      </w:r>
      <w:r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  <w:t xml:space="preserve">розничную продажу </w:t>
      </w:r>
      <w:r>
        <w:rPr>
          <w:rFonts w:ascii="Times New Roman" w:hAnsi="Times New Roman" w:eastAsia="Calibri" w:cs="Times New Roman"/>
          <w:i/>
          <w:iCs/>
          <w:sz w:val="26"/>
          <w:szCs w:val="26"/>
          <w:u w:val="single"/>
        </w:rPr>
        <w:t xml:space="preserve">безалкогольных тонизирующих напитков (в том числе энергетических)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в зданиях, строениях, сооружениях, помещениях, используемых для непосредственного осуществления деятельности в области культуры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Нарушение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запретов и ограничений, установленных законом Белгородской области от30 октября 2014 г. № 311 «О регулировании отдельных вопросов в сфере продажи безалкогольных тонизирующих напитков (в том числе энергетических) на территории Белгородской области»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Организация и осуществление регионального государственного контроля (надзора) в области продажи безалкогольных тонизирующих напитков (в том числе энергетических) регулируются Федеральным </w:t>
            </w:r>
            <w:hyperlink r:id="rId13" w:tooltip="https://login.consultant.ru/link/?req=doc&amp;base=RZB&amp;n=495001" w:history="1">
              <w:r>
                <w:rPr>
                  <w:rFonts w:ascii="Times New Roman" w:hAnsi="Times New Roman" w:cs="Times New Roman"/>
                  <w:i/>
                  <w:sz w:val="26"/>
                  <w:szCs w:val="26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от 31 июля 2020 г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248-ФЗ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843"/>
        <w:gridCol w:w="2126"/>
        <w:gridCol w:w="1418"/>
        <w:gridCol w:w="141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  <w:t xml:space="preserve">Размещение информации в СМИ о принятии закона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февраль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202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Осведомленность подконтрольных субъектов о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б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установленных запретах и ограничениях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  <w:t xml:space="preserve">Учет субъектов в государственной информационной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  <w:t xml:space="preserve">системе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Проведение контрольных (надзорных)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  <w:t xml:space="preserve">Подготовка ежегодного доклада о состоянии регионального государственного надзора (надзора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ежегодно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  <w:lang w:eastAsia="en-US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контроля (надзора)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нет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2126"/>
        <w:gridCol w:w="198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Отсутствие жалоб и обращений о несоблюдении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установленных запретов и ограничений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области продажи </w:t>
            </w:r>
            <w:r>
              <w:rPr>
                <w:rFonts w:ascii="Times New Roman" w:hAnsi="Times New Roman" w:eastAsia="Calibri" w:cs="Times New Roman"/>
                <w:i/>
                <w:iCs/>
                <w:sz w:val="26"/>
                <w:szCs w:val="26"/>
              </w:rPr>
              <w:t xml:space="preserve">безалкогольных тонизирующих напитков (в том числе энергетических)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в зданиях, строениях, сооружениях, помещениях, используемых для непосредственного осуществления деятельности в области культуры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Анализ количества выявленных нарушений 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запретов и ограничений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 за истекший период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январь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eastAsia="Calibri" w:cs="Times New Roman"/>
                <w:bCs/>
                <w:i/>
                <w:sz w:val="26"/>
                <w:szCs w:val="26"/>
              </w:rPr>
              <w:t xml:space="preserve">6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закона Белгородской области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eastAsia="Calibri" w:cs="Times New Roman"/>
          <w:bCs/>
          <w:i/>
          <w:sz w:val="26"/>
          <w:szCs w:val="26"/>
        </w:rPr>
        <w:t xml:space="preserve">1 марта 2025 года.</w:t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</w:style>
  <w:style w:type="paragraph" w:styleId="661">
    <w:name w:val="Heading 1"/>
    <w:basedOn w:val="660"/>
    <w:next w:val="660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0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60"/>
    <w:next w:val="660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Заголовок Знак"/>
    <w:basedOn w:val="670"/>
    <w:link w:val="701"/>
    <w:uiPriority w:val="10"/>
    <w:rPr>
      <w:sz w:val="48"/>
      <w:szCs w:val="48"/>
    </w:rPr>
  </w:style>
  <w:style w:type="paragraph" w:styleId="703">
    <w:name w:val="Subtitle"/>
    <w:basedOn w:val="660"/>
    <w:next w:val="660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70"/>
    <w:link w:val="703"/>
    <w:uiPriority w:val="11"/>
    <w:rPr>
      <w:sz w:val="24"/>
      <w:szCs w:val="24"/>
    </w:rPr>
  </w:style>
  <w:style w:type="paragraph" w:styleId="705">
    <w:name w:val="Quote"/>
    <w:basedOn w:val="660"/>
    <w:next w:val="660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0"/>
    <w:next w:val="660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60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basedOn w:val="670"/>
    <w:link w:val="709"/>
    <w:uiPriority w:val="99"/>
  </w:style>
  <w:style w:type="paragraph" w:styleId="711">
    <w:name w:val="Footer"/>
    <w:basedOn w:val="6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basedOn w:val="670"/>
    <w:uiPriority w:val="99"/>
  </w:style>
  <w:style w:type="paragraph" w:styleId="713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7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6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70"/>
    <w:uiPriority w:val="99"/>
    <w:unhideWhenUsed/>
    <w:rPr>
      <w:vertAlign w:val="superscript"/>
    </w:rPr>
  </w:style>
  <w:style w:type="paragraph" w:styleId="845">
    <w:name w:val="endnote text"/>
    <w:basedOn w:val="66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70"/>
    <w:uiPriority w:val="99"/>
    <w:semiHidden/>
    <w:unhideWhenUsed/>
    <w:rPr>
      <w:vertAlign w:val="superscript"/>
    </w:rPr>
  </w:style>
  <w:style w:type="paragraph" w:styleId="848">
    <w:name w:val="toc 1"/>
    <w:basedOn w:val="660"/>
    <w:next w:val="660"/>
    <w:uiPriority w:val="39"/>
    <w:unhideWhenUsed/>
    <w:pPr>
      <w:spacing w:after="57"/>
    </w:pPr>
  </w:style>
  <w:style w:type="paragraph" w:styleId="84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5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60"/>
    <w:next w:val="660"/>
    <w:uiPriority w:val="99"/>
    <w:unhideWhenUsed/>
    <w:pPr>
      <w:spacing w:after="0"/>
    </w:pPr>
  </w:style>
  <w:style w:type="paragraph" w:styleId="85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7" w:customStyle="1">
    <w:name w:val="Знак"/>
    <w:basedOn w:val="66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68" w:customStyle="1">
    <w:name w:val="Обычный (веб)1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9" w:customStyle="1">
    <w:name w:val="Основной текст (2)_"/>
    <w:basedOn w:val="670"/>
    <w:link w:val="87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870" w:customStyle="1">
    <w:name w:val="Основной текст (2)"/>
    <w:basedOn w:val="660"/>
    <w:link w:val="869"/>
    <w:pPr>
      <w:jc w:val="both"/>
      <w:spacing w:after="30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leonuk@belapk.ru" TargetMode="External"/><Relationship Id="rId13" Type="http://schemas.openxmlformats.org/officeDocument/2006/relationships/hyperlink" Target="https://login.consultant.ru/link/?req=doc&amp;base=RZB&amp;n=4950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1393-8A50-40CD-B1A7-64E29EE3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143</cp:revision>
  <dcterms:created xsi:type="dcterms:W3CDTF">2022-04-27T14:18:00Z</dcterms:created>
  <dcterms:modified xsi:type="dcterms:W3CDTF">2025-01-31T09:13:45Z</dcterms:modified>
</cp:coreProperties>
</file>