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highlight w:val="none"/>
        </w:rPr>
      </w:r>
      <w:bookmarkStart w:id="0" w:name="P439"/>
      <w:r>
        <w:rPr>
          <w:highlight w:val="none"/>
        </w:rPr>
      </w:r>
      <w:bookmarkEnd w:id="0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Сводный отчет</w:t>
      </w:r>
      <w:r>
        <w:rPr>
          <w:highlight w:val="none"/>
        </w:rPr>
      </w:r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о результатах проведения оценки регулирующего воздействия</w:t>
      </w:r>
      <w:r>
        <w:rPr>
          <w:highlight w:val="none"/>
        </w:rPr>
      </w:r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проекта нормативного правового акта</w:t>
      </w:r>
      <w:r>
        <w:rPr>
          <w:highlight w:val="none"/>
        </w:rPr>
      </w:r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  <w:lang w:eastAsia="ru-RU"/>
        </w:rPr>
        <w:t xml:space="preserve">1. Общая информация: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1.2. Вид и наименование проекта нормативного правового акта:</w:t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24 марта 2014 года № 114-пп».</w:t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акта: начало: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02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февраля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окончание «1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февраля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г.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Проектом постановления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оптимизируются порядки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предоставления мер поддержки, направленных на развитие малых форм хозяйствования в сельской местности.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Изменения вносятся в части объединения государственной поддержки крестьянских (фермерских) хозяйств в форме гранта «Агростартап» и гранта на развитие семейной фермы,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предоставляемых ранее данным категориям получателей средств, в отдельный грант на развитие фермерского хозяйства. Кроме того проектом изменяется название постановления, а также утверждаются порядок пред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оставления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грантов в форме субсидий на развитие фермерских хозяйств Белгородской области и порядок предос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субсидий на возмещение затрат фермерских хозяйств Белгородской области.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1.5. Контактная информация об исполнителе в органе-разработчике: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Кандабар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 Юлия Сергеевна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Должность: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Тел.: 8 (4722) 24-76-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Адрес электронной почты: </w:t>
      </w:r>
      <w:r>
        <w:rPr>
          <w:rFonts w:hint="default" w:ascii="Times New Roman" w:hAnsi="Times New Roman" w:cs="Times New Roman"/>
          <w:iCs/>
          <w:sz w:val="26"/>
          <w:szCs w:val="26"/>
          <w:highlight w:val="none"/>
          <w:lang w:val="ru-RU"/>
        </w:rPr>
        <w:t xml:space="preserve">kandabar</w:t>
      </w:r>
      <w:r>
        <w:rPr>
          <w:rFonts w:ascii="Times New Roman" w:hAnsi="Times New Roman" w:cs="Times New Roman"/>
          <w:iCs/>
          <w:sz w:val="26"/>
          <w:szCs w:val="26"/>
          <w:highlight w:val="none"/>
        </w:rPr>
        <w:t xml:space="preserve">_</w:t>
      </w:r>
      <w:r>
        <w:rPr>
          <w:rFonts w:hint="default" w:ascii="Times New Roman" w:hAnsi="Times New Roman" w:cs="Times New Roman"/>
          <w:iCs/>
          <w:sz w:val="26"/>
          <w:szCs w:val="26"/>
          <w:highlight w:val="none"/>
          <w:lang w:val="ru-RU"/>
        </w:rPr>
        <w:t xml:space="preserve">yus</w:t>
      </w:r>
      <w:r>
        <w:rPr>
          <w:rFonts w:ascii="Times New Roman" w:hAnsi="Times New Roman" w:cs="Times New Roman"/>
          <w:iCs/>
          <w:sz w:val="26"/>
          <w:szCs w:val="26"/>
          <w:highlight w:val="none"/>
        </w:rPr>
        <w:t xml:space="preserve">@belreg</w:t>
      </w:r>
      <w:r>
        <w:rPr>
          <w:rFonts w:hint="default" w:ascii="Times New Roman" w:hAnsi="Times New Roman" w:cs="Times New Roman"/>
          <w:iCs/>
          <w:sz w:val="26"/>
          <w:szCs w:val="26"/>
          <w:highlight w:val="none"/>
          <w:lang w:val="ru-RU"/>
        </w:rPr>
        <w:t xml:space="preserve">ion</w:t>
      </w:r>
      <w:r>
        <w:rPr>
          <w:rFonts w:ascii="Times New Roman" w:hAnsi="Times New Roman" w:cs="Times New Roman"/>
          <w:iCs/>
          <w:sz w:val="26"/>
          <w:szCs w:val="26"/>
          <w:highlight w:val="none"/>
        </w:rPr>
        <w:t xml:space="preserve">.ru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 Описание проблемы, на решение которой направлено вводимое правовое регулирование: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2.1. Проблема, на решение которой направлен предлагаемый способ правового регулирования: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Невозможность проведения конкурсного отбора без внесения изменений в порядок предоставления крестьянским (фермерским) хозяйствам грантов на развитие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фермерских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хозяйств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Белгородской области без утверждения регионального нормативного правового акта, регламентирующего данный порядок.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Невозможность проведения отбора без внесения изменений в порядок предоставления крестьянским (фермерским) хозяйствам субсидий на возмещение затрат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фермерских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хозяйств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Белгородской области без утверждения регионального нормативного правового акта, регламентирующий данный порядок.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2.3. Негативные эффекты, возникающие в связи с наличием рассматриваемой проблемы: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Невозможность получения федерального финансирования без внесения изменений в региональное законодательство, невозможность проведения конкурсных мероприятий, отсутствие альтернативных методов поддержки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крестьянских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(фермерских) хозяйств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в современных условиях, невозможность получения грантовой поддержки в целях дальнейшего развития крестьянских (фермерских) хозяйств.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соответствующих сферах деятельности:*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настоящее время органами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сельхозтоваропроизводителям.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3.Цели вводимого правового регулирования и измеримые показатели их достижения: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создание оптимальных условий для оказания государственной поддержки по предоставлению грантов на развитие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фермерских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хозяйств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Белгородской области и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с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убсидий сельскохозяйственным товаропроизводителям.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 нормативного правового акта разработан 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соответствии с        постановлением Правительства Российской Федерации от 14 июля 2012 года № 717                   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  <w:r>
        <w:rPr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3.3. Сроки достижения целей предлагаемого правового регулирования:</w:t>
      </w:r>
      <w:r>
        <w:rPr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года.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Иная информация о целях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Отсутствует</w:t>
      </w:r>
      <w:r>
        <w:rPr>
          <w:highlight w:val="none"/>
        </w:rPr>
      </w:r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 Описание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highlight w:val="none"/>
        </w:rPr>
      </w:r>
      <w:bookmarkStart w:id="1" w:name="_Hlk158367312"/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Проектом нормативного правового акта утверждаются:</w:t>
      </w:r>
      <w:r>
        <w:rPr>
          <w:highlight w:val="none"/>
        </w:rPr>
      </w:r>
    </w:p>
    <w:p>
      <w:pPr>
        <w:pStyle w:val="842"/>
        <w:ind w:left="0" w:firstLine="567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Порядок предоставления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грантов в форме субсидий на развитие  фермерских хозяйств Белгородской области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;</w:t>
      </w:r>
      <w:r>
        <w:rPr>
          <w:highlight w:val="none"/>
        </w:rPr>
      </w:r>
    </w:p>
    <w:p>
      <w:pPr>
        <w:pStyle w:val="842"/>
        <w:ind w:left="0" w:firstLine="567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</w:rPr>
        <w:t xml:space="preserve">Порядок предоставления из областного бюджета крестьянским (фермерским) хозяйствам или индивидуальным предпринимателям, являющимся главами крестьянских (фермерских) хозяйств, субсидий на возмещение затрат фермерских хозяйств Белгородской области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;</w:t>
      </w:r>
      <w:bookmarkEnd w:id="1"/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4.2. Альтернативные варианты решения проблемы: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развитие крестьянских (фермерских) хозяйств или индивидуальных предпринимателей за счет собственных или заемных средств;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Оптимальным вариантом решения проблемы департамент устойчивого развития с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области, который позволит создать оптимальные условия грантополучателям для эффективного освоения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предоставленной государственной поддержки, будет способствовать повышению заинтересованности крестьянских (фермерских) хозяйств или индивидуальных предпринимателей в создании и развитии рентабельного производства в сельской местности Белгородской области.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При минимальном размере гранта в сумме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3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,0 млн. руб. в случае привлечения заемных средств в вышеуказанной сумме (под процентную ставку в размере 5 %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30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месяцев (срок освоения гранта) переплата получателя составит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197,643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тыс. руб.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62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Главы к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рестьянских (фермерских) хозяйств или индивидуальные предприниматели, являющиеся главами крестьянских (фермерских) хозяйств, зарегистрированные и осуществляющие деятельность на сельских территориях или территориях сельской агломерации Белгородской области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  <w:t xml:space="preserve">36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 ед.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62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689"/>
        <w:gridCol w:w="4114"/>
        <w:gridCol w:w="286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Глава крес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тьянского (фермерского) хозяйства или индивидуальный предприниматель, являющийся главой крестьянского (фермерского) хозяйства, зарегистрированный и осуществляющий деятельность на сельской территории или территории сельской агломерации Белгородской области.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82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hint="default"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возможность участвовать в  конкурсном отборе по предоставлению Грантов на развитие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фермерских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 хозяйств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и в отборе по предоставлению субсидий на возмещение затрат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фермерских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 хозяств Белгородской облсти</w:t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4" w:type="dxa"/>
            <w:vAlign w:val="center"/>
            <w:vMerge w:val="restart"/>
            <w:textDirection w:val="lrTb"/>
            <w:noWrap w:val="false"/>
          </w:tcPr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i w:val="0"/>
                <w:iCs w:val="0"/>
                <w:sz w:val="26"/>
                <w:szCs w:val="26"/>
                <w:highlight w:val="none"/>
                <w:lang w:eastAsia="en-US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На 2026 год предусмотрено финансирование </w:t>
            </w:r>
            <w:r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на общую сумму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eastAsia="Calibri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2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58 786,00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 тыс. рублей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left="0" w:right="115" w:firstLine="0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Стоимость требования по предоставлению пакета документов, для получения </w:t>
            </w: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гранта на развитие </w:t>
            </w:r>
            <w:r>
              <w:rPr>
                <w:rFonts w:eastAsia="Calibri"/>
                <w:sz w:val="26"/>
                <w:szCs w:val="26"/>
                <w:highlight w:val="none"/>
                <w:lang w:val="ru-RU" w:eastAsia="en-US"/>
              </w:rPr>
              <w:t xml:space="preserve">фермерского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 w:eastAsia="en-US"/>
              </w:rPr>
              <w:t xml:space="preserve"> хозяйства</w:t>
            </w: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left="0" w:right="115" w:firstLine="0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127,33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тыс. руб.</w:t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right="-139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ind w:left="0" w:right="115" w:firstLine="0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Стоимость требования по предоставлению пакета документов, для получения </w:t>
            </w: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субсидий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на возмещение затрат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фермерским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 хозяйствам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Белгородской области: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br/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86,08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тыс. руб.</w:t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82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Обязанности:</w:t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hint="default"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-предоставление пакета документов, необходимого для участия в конкурсном отборе гранта на развитие </w:t>
            </w:r>
            <w:r>
              <w:rPr>
                <w:rFonts w:eastAsia="Calibri"/>
                <w:sz w:val="26"/>
                <w:szCs w:val="26"/>
                <w:highlight w:val="none"/>
                <w:lang w:val="ru-RU" w:eastAsia="en-US"/>
              </w:rPr>
              <w:t xml:space="preserve">фермерского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 w:eastAsia="en-US"/>
              </w:rPr>
              <w:t xml:space="preserve"> хозяйства;</w:t>
            </w:r>
            <w:r>
              <w:rPr>
                <w:highlight w:val="none"/>
              </w:rPr>
            </w:r>
          </w:p>
          <w:p>
            <w:pPr>
              <w:pStyle w:val="682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 предоставление пакета документов, необходимых для участия в предоставлении крестьянским (фермерским) хозяйствам субсидий на возмещение затрат </w:t>
            </w:r>
            <w:r>
              <w:rPr>
                <w:rFonts w:eastAsia="Calibri"/>
                <w:sz w:val="26"/>
                <w:szCs w:val="26"/>
                <w:highlight w:val="none"/>
                <w:lang w:val="ru-RU" w:eastAsia="en-US"/>
              </w:rPr>
              <w:t xml:space="preserve">фермерским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 w:eastAsia="en-US"/>
              </w:rPr>
              <w:t xml:space="preserve"> хозяйствам</w:t>
            </w: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 Белгородской области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62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Наименование органа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или прав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трудозатрат и (или) потребностей в иных ресурсах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Дополнительные трудозатраты                        не потребуются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62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highlight w:val="none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Количественная оценка расходов и возможных поступлений,</w:t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Предоставление грантов на развитие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хозяйств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Белгородской области и субсидий, предоставляемых крестьянским (фермерским) хозяйствам на возмещение затрат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хозяйств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Белгородской области</w:t>
            </w:r>
            <w:r>
              <w:rPr>
                <w:highlight w:val="none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Финансирование в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году будет осуществляться в виде субсидии на общую сумму                     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258 786,00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тыс. рублей, в том числе из федерального бюджета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175 974,48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68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%) и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82 811,52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тыс. руб. (26%) из бюджета Белгородской области.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62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1"/>
              </w:numPr>
              <w:ind w:left="0" w:firstLine="284"/>
              <w:jc w:val="both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Уменьшение потенциальных участников мероприятий по предоставлению грантов на развитие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фермерского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хозяйства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1"/>
              </w:numPr>
              <w:ind w:left="0" w:firstLine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Сокращение интереса потенциальных участников грантов на развитие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фермерского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хозяйства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к иным видам деятельности, не относящимся к разведению крупного рогатого скота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62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48"/>
        <w:gridCol w:w="1138"/>
        <w:gridCol w:w="1843"/>
        <w:gridCol w:w="992"/>
        <w:gridCol w:w="144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Мероприятия, необходимые для достижения целей регулирования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Сроки реализа-ции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ожидаемого результата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Объем финан-сиро- вания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(belapk.ru ) и на едином портале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Февраль-март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Информи-рование потенциальных заявителей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Предоставление грантов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и субсидий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на развитие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 хозяйств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 в соответствии с разработанным проектом постановления правительства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прель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Реализация мероприятий по развитию фермерских хозяйств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Мониторинг оказанных мер поддержки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Декабрь 2026 года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Предоставление государственной поддержки в соответствии с требованиями федерального и регионального законодательства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62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2130"/>
        <w:gridCol w:w="198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</w:t>
            </w:r>
            <w:bookmarkStart w:id="2" w:name="_GoBack"/>
            <w:r/>
            <w:bookmarkEnd w:id="2"/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5 лет)</w:t>
            </w:r>
            <w:r/>
            <w:r/>
          </w:p>
        </w:tc>
      </w:tr>
      <w:tr>
        <w:trPr>
          <w:trHeight w:val="28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грантов на развитие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хозяйств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Белгородской области и субсидий, предоставляемых крестьянским (фермерским) хозяйствам на возмещение затрат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хозяйств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Белгородской области в текущем финансовом году не менее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6 крестьянским (фермерским) хозяйствам и индивидуальным предпринимателям, являющимся сельскохозяйственными товаропроизводителями.</w:t>
            </w:r>
            <w:r>
              <w:rPr>
                <w:sz w:val="26"/>
                <w:szCs w:val="26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0" w:type="dxa"/>
            <w:textDirection w:val="lrTb"/>
            <w:noWrap w:val="false"/>
          </w:tcPr>
          <w:p>
            <w:pPr>
              <w:ind w:left="36" w:right="-70" w:firstLine="0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Проведение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конкурсного отбора среди крестьянских (фермерских) хозяйств или индивидуальных предпринимате-лей, являющихся главами крестьянских (фермерских) хозяйств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грантов на развитие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фермерских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хозяйств</w:t>
            </w:r>
            <w:r/>
          </w:p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bCs/>
          <w:sz w:val="26"/>
          <w:szCs w:val="26"/>
          <w:lang w:val="ru-RU"/>
        </w:rPr>
        <w:t xml:space="preserve">1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tbl>
      <w:tblPr>
        <w:tblStyle w:val="662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419"/>
        </w:trPr>
        <w:tc>
          <w:tcPr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tbl>
            <w:tblPr>
              <w:tblStyle w:val="662"/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063"/>
            </w:tblGrid>
            <w:tr>
              <w:trPr>
                <w:trHeight w:val="679"/>
              </w:trPr>
              <w:tc>
                <w:tcPr>
                  <w:shd w:val="clear" w:color="auto" w:fill="auto"/>
                  <w:tcW w:w="527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Первый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заместитель </w:t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министра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сельского хозяйства и продовольствия Белгородской области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bottom w:val="single" w:color="auto" w:sz="4" w:space="0"/>
                  </w:tcBorders>
                  <w:tcW w:w="527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А.Н. Цапков</w:t>
                  </w:r>
                  <w:r/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1"/>
    <w:link w:val="680"/>
    <w:uiPriority w:val="10"/>
    <w:rPr>
      <w:sz w:val="48"/>
      <w:szCs w:val="48"/>
    </w:rPr>
  </w:style>
  <w:style w:type="character" w:styleId="646">
    <w:name w:val="Subtitle Char"/>
    <w:basedOn w:val="661"/>
    <w:link w:val="683"/>
    <w:uiPriority w:val="11"/>
    <w:rPr>
      <w:sz w:val="24"/>
      <w:szCs w:val="24"/>
    </w:rPr>
  </w:style>
  <w:style w:type="character" w:styleId="647">
    <w:name w:val="Quote Char"/>
    <w:link w:val="697"/>
    <w:uiPriority w:val="29"/>
    <w:rPr>
      <w:i/>
    </w:rPr>
  </w:style>
  <w:style w:type="character" w:styleId="648">
    <w:name w:val="Intense Quote Char"/>
    <w:link w:val="699"/>
    <w:uiPriority w:val="30"/>
    <w:rPr>
      <w:i/>
    </w:rPr>
  </w:style>
  <w:style w:type="character" w:styleId="649">
    <w:name w:val="Footnote Text Char"/>
    <w:link w:val="668"/>
    <w:uiPriority w:val="99"/>
    <w:rPr>
      <w:sz w:val="18"/>
    </w:rPr>
  </w:style>
  <w:style w:type="character" w:styleId="650">
    <w:name w:val="Endnote Text Char"/>
    <w:link w:val="666"/>
    <w:uiPriority w:val="99"/>
    <w:rPr>
      <w:sz w:val="20"/>
    </w:rPr>
  </w:style>
  <w:style w:type="paragraph" w:styleId="65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2">
    <w:name w:val="Heading 1"/>
    <w:basedOn w:val="651"/>
    <w:next w:val="651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  <w:qFormat/>
  </w:style>
  <w:style w:type="table" w:styleId="66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3">
    <w:name w:val="footnote reference"/>
    <w:basedOn w:val="661"/>
    <w:uiPriority w:val="99"/>
    <w:unhideWhenUsed/>
    <w:qFormat/>
    <w:rPr>
      <w:vertAlign w:val="superscript"/>
    </w:rPr>
  </w:style>
  <w:style w:type="character" w:styleId="664">
    <w:name w:val="endnote reference"/>
    <w:basedOn w:val="661"/>
    <w:uiPriority w:val="99"/>
    <w:semiHidden/>
    <w:unhideWhenUsed/>
    <w:qFormat/>
    <w:rPr>
      <w:vertAlign w:val="superscript"/>
    </w:rPr>
  </w:style>
  <w:style w:type="character" w:styleId="665">
    <w:name w:val="Hyperlink"/>
    <w:basedOn w:val="661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66">
    <w:name w:val="endnote text"/>
    <w:basedOn w:val="651"/>
    <w:link w:val="830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67">
    <w:name w:val="Caption"/>
    <w:basedOn w:val="651"/>
    <w:next w:val="651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8">
    <w:name w:val="footnote text"/>
    <w:basedOn w:val="651"/>
    <w:link w:val="829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69">
    <w:name w:val="toc 8"/>
    <w:basedOn w:val="651"/>
    <w:next w:val="651"/>
    <w:uiPriority w:val="39"/>
    <w:unhideWhenUsed/>
    <w:qFormat/>
    <w:pPr>
      <w:ind w:left="1984"/>
      <w:spacing w:after="57"/>
    </w:pPr>
  </w:style>
  <w:style w:type="paragraph" w:styleId="670">
    <w:name w:val="Header"/>
    <w:basedOn w:val="651"/>
    <w:link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1">
    <w:name w:val="toc 9"/>
    <w:basedOn w:val="651"/>
    <w:next w:val="651"/>
    <w:uiPriority w:val="39"/>
    <w:unhideWhenUsed/>
    <w:qFormat/>
    <w:pPr>
      <w:ind w:left="2268"/>
      <w:spacing w:after="57"/>
    </w:pPr>
  </w:style>
  <w:style w:type="paragraph" w:styleId="672">
    <w:name w:val="toc 7"/>
    <w:basedOn w:val="651"/>
    <w:next w:val="651"/>
    <w:uiPriority w:val="39"/>
    <w:unhideWhenUsed/>
    <w:qFormat/>
    <w:pPr>
      <w:ind w:left="1701"/>
      <w:spacing w:after="57"/>
    </w:pPr>
  </w:style>
  <w:style w:type="paragraph" w:styleId="673">
    <w:name w:val="toc 1"/>
    <w:basedOn w:val="651"/>
    <w:next w:val="651"/>
    <w:uiPriority w:val="39"/>
    <w:unhideWhenUsed/>
    <w:qFormat/>
    <w:pPr>
      <w:spacing w:after="57"/>
    </w:pPr>
  </w:style>
  <w:style w:type="paragraph" w:styleId="674">
    <w:name w:val="toc 6"/>
    <w:basedOn w:val="651"/>
    <w:next w:val="651"/>
    <w:uiPriority w:val="39"/>
    <w:unhideWhenUsed/>
    <w:qFormat/>
    <w:pPr>
      <w:ind w:left="1417"/>
      <w:spacing w:after="57"/>
    </w:pPr>
  </w:style>
  <w:style w:type="paragraph" w:styleId="675">
    <w:name w:val="table of figures"/>
    <w:basedOn w:val="651"/>
    <w:next w:val="651"/>
    <w:uiPriority w:val="99"/>
    <w:unhideWhenUsed/>
    <w:qFormat/>
    <w:pPr>
      <w:spacing w:after="0"/>
    </w:pPr>
  </w:style>
  <w:style w:type="paragraph" w:styleId="676">
    <w:name w:val="toc 3"/>
    <w:basedOn w:val="651"/>
    <w:next w:val="651"/>
    <w:uiPriority w:val="39"/>
    <w:unhideWhenUsed/>
    <w:qFormat/>
    <w:pPr>
      <w:ind w:left="567"/>
      <w:spacing w:after="57"/>
    </w:pPr>
  </w:style>
  <w:style w:type="paragraph" w:styleId="677">
    <w:name w:val="toc 2"/>
    <w:basedOn w:val="651"/>
    <w:next w:val="651"/>
    <w:uiPriority w:val="39"/>
    <w:unhideWhenUsed/>
    <w:qFormat/>
    <w:pPr>
      <w:ind w:left="283"/>
      <w:spacing w:after="57"/>
    </w:pPr>
  </w:style>
  <w:style w:type="paragraph" w:styleId="678">
    <w:name w:val="toc 4"/>
    <w:basedOn w:val="651"/>
    <w:next w:val="651"/>
    <w:uiPriority w:val="39"/>
    <w:unhideWhenUsed/>
    <w:qFormat/>
    <w:pPr>
      <w:ind w:left="850"/>
      <w:spacing w:after="57"/>
    </w:pPr>
  </w:style>
  <w:style w:type="paragraph" w:styleId="679">
    <w:name w:val="toc 5"/>
    <w:basedOn w:val="651"/>
    <w:next w:val="651"/>
    <w:uiPriority w:val="39"/>
    <w:unhideWhenUsed/>
    <w:qFormat/>
    <w:pPr>
      <w:ind w:left="1134"/>
      <w:spacing w:after="57"/>
    </w:pPr>
  </w:style>
  <w:style w:type="paragraph" w:styleId="680">
    <w:name w:val="Title"/>
    <w:basedOn w:val="651"/>
    <w:next w:val="651"/>
    <w:link w:val="695"/>
    <w:uiPriority w:val="10"/>
    <w:qFormat/>
    <w:pPr>
      <w:contextualSpacing/>
      <w:spacing w:before="300"/>
    </w:pPr>
    <w:rPr>
      <w:sz w:val="48"/>
      <w:szCs w:val="48"/>
    </w:rPr>
  </w:style>
  <w:style w:type="paragraph" w:styleId="681">
    <w:name w:val="Footer"/>
    <w:basedOn w:val="651"/>
    <w:link w:val="84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2">
    <w:name w:val="Normal (Web)"/>
    <w:basedOn w:val="65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Subtitle"/>
    <w:basedOn w:val="651"/>
    <w:next w:val="651"/>
    <w:link w:val="696"/>
    <w:uiPriority w:val="11"/>
    <w:qFormat/>
    <w:pPr>
      <w:spacing w:before="200"/>
    </w:pPr>
    <w:rPr>
      <w:sz w:val="24"/>
      <w:szCs w:val="24"/>
    </w:rPr>
  </w:style>
  <w:style w:type="table" w:styleId="684">
    <w:name w:val="Table Grid"/>
    <w:basedOn w:val="66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5" w:customStyle="1">
    <w:name w:val="Заголовок 1 Знак"/>
    <w:basedOn w:val="661"/>
    <w:link w:val="652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1"/>
    <w:link w:val="653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1"/>
    <w:link w:val="654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1"/>
    <w:link w:val="65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1"/>
    <w:link w:val="6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1"/>
    <w:link w:val="65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1"/>
    <w:link w:val="65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1"/>
    <w:link w:val="65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1"/>
    <w:link w:val="660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5" w:customStyle="1">
    <w:name w:val="Заголовок Знак"/>
    <w:basedOn w:val="661"/>
    <w:link w:val="680"/>
    <w:uiPriority w:val="10"/>
    <w:qFormat/>
    <w:rPr>
      <w:sz w:val="48"/>
      <w:szCs w:val="48"/>
    </w:rPr>
  </w:style>
  <w:style w:type="character" w:styleId="696" w:customStyle="1">
    <w:name w:val="Подзаголовок Знак"/>
    <w:basedOn w:val="661"/>
    <w:link w:val="683"/>
    <w:uiPriority w:val="11"/>
    <w:qFormat/>
    <w:rPr>
      <w:sz w:val="24"/>
      <w:szCs w:val="24"/>
    </w:rPr>
  </w:style>
  <w:style w:type="paragraph" w:styleId="697">
    <w:name w:val="Quote"/>
    <w:basedOn w:val="651"/>
    <w:next w:val="65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qFormat/>
    <w:rPr>
      <w:i/>
    </w:rPr>
  </w:style>
  <w:style w:type="paragraph" w:styleId="699">
    <w:name w:val="Intense Quote"/>
    <w:basedOn w:val="651"/>
    <w:next w:val="65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qFormat/>
    <w:rPr>
      <w:i/>
    </w:rPr>
  </w:style>
  <w:style w:type="character" w:styleId="701" w:customStyle="1">
    <w:name w:val="Header Char"/>
    <w:basedOn w:val="661"/>
    <w:uiPriority w:val="99"/>
    <w:qFormat/>
  </w:style>
  <w:style w:type="character" w:styleId="702" w:customStyle="1">
    <w:name w:val="Footer Char"/>
    <w:basedOn w:val="661"/>
    <w:uiPriority w:val="99"/>
    <w:qFormat/>
  </w:style>
  <w:style w:type="character" w:styleId="703" w:customStyle="1">
    <w:name w:val="Caption Char"/>
    <w:uiPriority w:val="99"/>
    <w:qFormat/>
  </w:style>
  <w:style w:type="table" w:styleId="704" w:customStyle="1">
    <w:name w:val="Table Grid Light"/>
    <w:basedOn w:val="66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5" w:customStyle="1">
    <w:name w:val="Plain Table 1"/>
    <w:basedOn w:val="66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2"/>
    <w:basedOn w:val="66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3"/>
    <w:basedOn w:val="66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Plain Table 4"/>
    <w:basedOn w:val="66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Plain Table 5"/>
    <w:basedOn w:val="66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1 Light"/>
    <w:basedOn w:val="66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6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6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6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6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6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6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"/>
    <w:basedOn w:val="66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6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6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6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6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6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6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"/>
    <w:basedOn w:val="66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6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6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6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6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6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6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4"/>
    <w:basedOn w:val="66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6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3" w:customStyle="1">
    <w:name w:val="Grid Table 4 - Accent 2"/>
    <w:basedOn w:val="66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4" w:customStyle="1">
    <w:name w:val="Grid Table 4 - Accent 3"/>
    <w:basedOn w:val="66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5" w:customStyle="1">
    <w:name w:val="Grid Table 4 - Accent 4"/>
    <w:basedOn w:val="66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6" w:customStyle="1">
    <w:name w:val="Grid Table 4 - Accent 5"/>
    <w:basedOn w:val="66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7" w:customStyle="1">
    <w:name w:val="Grid Table 4 - Accent 6"/>
    <w:basedOn w:val="66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8" w:customStyle="1">
    <w:name w:val="Grid Table 5 Dark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6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6 Colorful"/>
    <w:basedOn w:val="66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6" w:customStyle="1">
    <w:name w:val="Grid Table 6 Colorful - Accent 1"/>
    <w:basedOn w:val="662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2"/>
    <w:basedOn w:val="66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8" w:customStyle="1">
    <w:name w:val="Grid Table 6 Colorful - Accent 3"/>
    <w:basedOn w:val="66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9" w:customStyle="1">
    <w:name w:val="Grid Table 6 Colorful - Accent 4"/>
    <w:basedOn w:val="66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0" w:customStyle="1">
    <w:name w:val="Grid Table 6 Colorful - Accent 5"/>
    <w:basedOn w:val="662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1" w:customStyle="1">
    <w:name w:val="Grid Table 6 Colorful - Accent 6"/>
    <w:basedOn w:val="66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7 Colorful"/>
    <w:basedOn w:val="66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6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6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6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6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62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6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"/>
    <w:basedOn w:val="66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6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6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6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6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6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62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66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6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6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6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6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6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6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3" w:customStyle="1">
    <w:name w:val="List Table 3"/>
    <w:basedOn w:val="66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6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6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6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6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6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6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66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6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6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6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6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6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6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5 Dark"/>
    <w:basedOn w:val="66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8" w:customStyle="1">
    <w:name w:val="List Table 5 Dark - Accent 1"/>
    <w:basedOn w:val="662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2"/>
    <w:basedOn w:val="66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3"/>
    <w:basedOn w:val="662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4"/>
    <w:basedOn w:val="66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5"/>
    <w:basedOn w:val="662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6"/>
    <w:basedOn w:val="66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6 Colorful"/>
    <w:basedOn w:val="66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5" w:customStyle="1">
    <w:name w:val="List Table 6 Colorful - Accent 1"/>
    <w:basedOn w:val="66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6" w:customStyle="1">
    <w:name w:val="List Table 6 Colorful - Accent 2"/>
    <w:basedOn w:val="66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7" w:customStyle="1">
    <w:name w:val="List Table 6 Colorful - Accent 3"/>
    <w:basedOn w:val="66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8" w:customStyle="1">
    <w:name w:val="List Table 6 Colorful - Accent 4"/>
    <w:basedOn w:val="66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List Table 6 Colorful - Accent 5"/>
    <w:basedOn w:val="66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0" w:customStyle="1">
    <w:name w:val="List Table 6 Colorful - Accent 6"/>
    <w:basedOn w:val="66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1" w:customStyle="1">
    <w:name w:val="List Table 7 Colorful"/>
    <w:basedOn w:val="66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62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62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62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6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6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62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9" w:customStyle="1">
    <w:name w:val="Lined - Accent 1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0" w:customStyle="1">
    <w:name w:val="Lined - Accent 2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1" w:customStyle="1">
    <w:name w:val="Lined - Accent 3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2" w:customStyle="1">
    <w:name w:val="Lined - Accent 4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Lined - Accent 5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Lined - Accent 6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 &amp; Lined - Accent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6" w:customStyle="1">
    <w:name w:val="Bordered &amp; Lined - Accent 1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7" w:customStyle="1">
    <w:name w:val="Bordered &amp; Lined - Accent 2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8" w:customStyle="1">
    <w:name w:val="Bordered &amp; Lined - Accent 3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9" w:customStyle="1">
    <w:name w:val="Bordered &amp; Lined - Accent 4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Bordered &amp; Lined - Accent 5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Bordered &amp; Lined - Accent 6"/>
    <w:basedOn w:val="662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"/>
    <w:basedOn w:val="66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3" w:customStyle="1">
    <w:name w:val="Bordered - Accent 1"/>
    <w:basedOn w:val="66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4" w:customStyle="1">
    <w:name w:val="Bordered - Accent 2"/>
    <w:basedOn w:val="66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5" w:customStyle="1">
    <w:name w:val="Bordered - Accent 3"/>
    <w:basedOn w:val="66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6" w:customStyle="1">
    <w:name w:val="Bordered - Accent 4"/>
    <w:basedOn w:val="66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7" w:customStyle="1">
    <w:name w:val="Bordered - Accent 5"/>
    <w:basedOn w:val="66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8" w:customStyle="1">
    <w:name w:val="Bordered - Accent 6"/>
    <w:basedOn w:val="66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9" w:customStyle="1">
    <w:name w:val="Текст сноски Знак"/>
    <w:link w:val="668"/>
    <w:uiPriority w:val="99"/>
    <w:qFormat/>
    <w:rPr>
      <w:sz w:val="18"/>
    </w:rPr>
  </w:style>
  <w:style w:type="character" w:styleId="830" w:customStyle="1">
    <w:name w:val="Текст концевой сноски Знак"/>
    <w:link w:val="666"/>
    <w:uiPriority w:val="99"/>
    <w:qFormat/>
    <w:rPr>
      <w:sz w:val="20"/>
    </w:rPr>
  </w:style>
  <w:style w:type="paragraph" w:styleId="831" w:customStyle="1">
    <w:name w:val="TOC Heading"/>
    <w:uiPriority w:val="39"/>
    <w:unhideWhenUsed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2" w:customStyle="1">
    <w:name w:val="ConsPlusNormal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833" w:customStyle="1">
    <w:name w:val="ConsPlusNonformat"/>
    <w:uiPriority w:val="0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4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5" w:customStyle="1">
    <w:name w:val="ConsPlusCell"/>
    <w:uiPriority w:val="0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6" w:customStyle="1">
    <w:name w:val="ConsPlusDocList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837" w:customStyle="1">
    <w:name w:val="ConsPlusTitlePage"/>
    <w:uiPriority w:val="0"/>
    <w:qFormat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styleId="838" w:customStyle="1">
    <w:name w:val="ConsPlusJurTerm"/>
    <w:uiPriority w:val="0"/>
    <w:qFormat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styleId="839" w:customStyle="1">
    <w:name w:val="ConsPlusTextList"/>
    <w:uiPriority w:val="0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40" w:customStyle="1">
    <w:name w:val="Знак"/>
    <w:basedOn w:val="651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1" w:customStyle="1">
    <w:name w:val="Знак1"/>
    <w:basedOn w:val="651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List Paragraph"/>
    <w:basedOn w:val="651"/>
    <w:uiPriority w:val="34"/>
    <w:qFormat/>
    <w:pPr>
      <w:contextualSpacing/>
      <w:ind w:left="720"/>
    </w:pPr>
  </w:style>
  <w:style w:type="character" w:styleId="843" w:customStyle="1">
    <w:name w:val="Верхний колонтитул Знак"/>
    <w:basedOn w:val="661"/>
    <w:link w:val="670"/>
    <w:uiPriority w:val="99"/>
    <w:qFormat/>
  </w:style>
  <w:style w:type="character" w:styleId="844" w:customStyle="1">
    <w:name w:val="Нижний колонтитул Знак"/>
    <w:basedOn w:val="661"/>
    <w:link w:val="681"/>
    <w:uiPriority w:val="99"/>
    <w:qFormat/>
  </w:style>
  <w:style w:type="character" w:styleId="845" w:customStyle="1">
    <w:name w:val="Unresolved Mention"/>
    <w:basedOn w:val="661"/>
    <w:uiPriority w:val="99"/>
    <w:semiHidden/>
    <w:unhideWhenUsed/>
    <w:qFormat/>
    <w:rPr>
      <w:color w:val="605e5c"/>
      <w:shd w:val="clear" w:color="auto" w:fill="e1dfdd"/>
    </w:rPr>
  </w:style>
  <w:style w:type="numbering" w:styleId="8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20</cp:revision>
  <dcterms:created xsi:type="dcterms:W3CDTF">2024-02-16T21:00:00Z</dcterms:created>
  <dcterms:modified xsi:type="dcterms:W3CDTF">2026-02-02T13:45:51Z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