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pStyle w:val="670"/>
        <w:ind w:left="0" w:right="0" w:firstLine="0"/>
        <w:jc w:val="center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к проекту закону Белгородской области «</w:t>
      </w:r>
      <w:r/>
      <w:r>
        <w:rPr>
          <w:rFonts w:ascii="PT Astra Serif" w:hAnsi="PT Astra Serif" w:cs="PT Astra Serif" w:eastAsia="PT Astra Serif"/>
          <w:b/>
          <w:sz w:val="28"/>
          <w:szCs w:val="28"/>
        </w:rPr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О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внесении изменений в закон Белгородской области «Об административных правонарушениях на территории Белгородской области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»</w:t>
      </w:r>
      <w:r>
        <w:rPr>
          <w:rFonts w:ascii="PT Astra Serif" w:hAnsi="PT Astra Serif" w:cs="PT Astra Serif" w:eastAsia="PT Astra Serif"/>
          <w:b w:val="false"/>
        </w:rPr>
      </w:r>
      <w:r/>
    </w:p>
    <w:p>
      <w:pPr>
        <w:pStyle w:val="670"/>
        <w:ind w:left="0" w:right="0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</w:r>
    </w:p>
    <w:p>
      <w:pPr>
        <w:pStyle w:val="504"/>
        <w:ind w:left="0" w:right="0" w:firstLine="709"/>
        <w:jc w:val="both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b w:val="false"/>
          <w:sz w:val="28"/>
          <w:szCs w:val="28"/>
        </w:rPr>
      </w:r>
      <w:r>
        <w:rPr>
          <w:rFonts w:ascii="PT Astra Serif" w:hAnsi="PT Astra Serif" w:cs="PT Astra Serif" w:eastAsia="PT Astra Serif"/>
          <w:b w:val="false"/>
          <w:sz w:val="28"/>
          <w:szCs w:val="28"/>
        </w:rPr>
        <w:t xml:space="preserve">Проект закона Белгородской области</w:t>
      </w:r>
      <w:r>
        <w:rPr>
          <w:rFonts w:ascii="PT Astra Serif" w:hAnsi="PT Astra Serif" w:cs="PT Astra Serif" w:eastAsia="PT Astra Serif"/>
          <w:b w:val="false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 w:val="false"/>
          <w:bCs w:val="false"/>
          <w:sz w:val="28"/>
          <w:szCs w:val="26"/>
          <w:lang w:val="ru-RU" w:bidi="ru-RU"/>
        </w:rPr>
        <w:t xml:space="preserve">«О внесении изменений в закон Белгородской области «Об административных правонарушениях на территории Белгородской области</w:t>
      </w:r>
      <w:r>
        <w:rPr>
          <w:rFonts w:ascii="PT Astra Serif" w:hAnsi="PT Astra Serif" w:cs="PT Astra Serif" w:eastAsia="PT Astra Serif"/>
          <w:b w:val="false"/>
          <w:sz w:val="28"/>
          <w:szCs w:val="28"/>
        </w:rPr>
        <w:t xml:space="preserve">»</w:t>
      </w:r>
      <w:r>
        <w:rPr>
          <w:rFonts w:ascii="PT Astra Serif" w:hAnsi="PT Astra Serif" w:cs="PT Astra Serif" w:eastAsia="PT Astra Serif"/>
          <w:b w:val="false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подготовлен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 целью восстановления порядка наложения са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нкций в соответствии с правилами утвержденными федеральным законодательством постановлением Правительства Российской Федерации от 30 декабря 2019 года № 1939 «Об утверждении правил государственной регистрации аттракционов» (далее - правила).</w:t>
      </w:r>
      <w:r>
        <w:rPr>
          <w:rFonts w:ascii="PT Astra Serif" w:hAnsi="PT Astra Serif" w:cs="PT Astra Serif" w:eastAsia="PT Astra Serif"/>
          <w:sz w:val="28"/>
        </w:rPr>
      </w:r>
      <w:r/>
    </w:p>
    <w:p>
      <w:pPr>
        <w:pStyle w:val="504"/>
        <w:ind w:left="0" w:right="0" w:firstLine="709"/>
        <w:jc w:val="both"/>
        <w:rPr>
          <w:rFonts w:ascii="PT Astra Serif" w:hAnsi="PT Astra Serif" w:cs="PT Astra Serif" w:eastAsia="PT Astra Serif"/>
          <w:color w:val="000000"/>
          <w:sz w:val="28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8"/>
        </w:rPr>
      </w:r>
      <w:r>
        <w:rPr>
          <w:rFonts w:ascii="PT Astra Serif" w:hAnsi="PT Astra Serif" w:cs="PT Astra Serif" w:eastAsia="PT Astra Serif"/>
          <w:b/>
          <w:bCs/>
          <w:color w:val="000000" w:themeColor="text1"/>
          <w:sz w:val="28"/>
          <w:szCs w:val="26"/>
          <w:lang w:val="ru-RU" w:bidi="ru-RU"/>
        </w:rPr>
      </w:r>
      <w:hyperlink r:id="rId10" w:tooltip="http://internet.garant.ru/document?id=26253749&amp;sub=0" w:history="1"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Законом Белгородской области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от 14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мая 2013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года №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202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в закон Белгородской области </w:t>
        </w:r>
        <w:r>
          <w:rPr>
            <w:rFonts w:ascii="PT Astra Serif" w:hAnsi="PT Astra Serif" w:cs="PT Astra Serif" w:eastAsia="PT Astra Serif"/>
            <w:bCs/>
            <w:sz w:val="28"/>
            <w:szCs w:val="28"/>
          </w:rPr>
          <w:t xml:space="preserve">от 4 июля 2002 года № 35</w:t>
        </w:r>
        <w:r>
          <w:t xml:space="preserve"> 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«Об административных правонарушениях на территории Белгородской области» </w:t>
        </w:r>
        <w:r>
          <w:rPr>
            <w:rFonts w:ascii="PT Astra Serif" w:hAnsi="PT Astra Serif" w:cs="PT Astra Serif" w:eastAsia="PT Astra Serif"/>
            <w:sz w:val="28"/>
            <w:szCs w:val="28"/>
          </w:rPr>
          <w:t xml:space="preserve">(далее – закон области № 35)</w:t>
        </w:r>
        <w:r>
          <w:rPr>
            <w:rStyle w:val="674"/>
            <w:rFonts w:ascii="PT Astra Serif" w:hAnsi="PT Astra Serif" w:cs="PT Astra Serif" w:eastAsia="PT Astra Serif"/>
            <w:b w:val="false"/>
            <w:bCs w:val="false"/>
            <w:color w:val="000000" w:themeColor="text1"/>
            <w:sz w:val="28"/>
            <w:szCs w:val="26"/>
            <w:lang w:val="ru-RU" w:bidi="ru-RU"/>
          </w:rPr>
          <w:t xml:space="preserve"> </w:t>
        </w:r>
      </w:hyperlink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highlight w:val="none"/>
        </w:rPr>
        <w:t xml:space="preserve">дополнительно 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highlight w:val="none"/>
        </w:rPr>
        <w:t xml:space="preserve">были внесены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  <w:t xml:space="preserve">статья </w:t>
      </w:r>
      <w:r>
        <w:rPr>
          <w:rStyle w:val="672"/>
          <w:rFonts w:ascii="PT Astra Serif" w:hAnsi="PT Astra Serif" w:cs="PT Astra Serif" w:eastAsia="PT Astra Serif"/>
          <w:b w:val="false"/>
          <w:bCs/>
          <w:color w:val="000000" w:themeColor="text1"/>
          <w:sz w:val="28"/>
          <w:szCs w:val="26"/>
          <w:lang w:val="ru-RU" w:bidi="ru-RU"/>
        </w:rPr>
        <w:t xml:space="preserve">6.28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  <w:t xml:space="preserve">,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</w:r>
      <w:hyperlink r:id="rId11" w:tooltip="http://internet.garant.ru/document?id=26200881&amp;sub=71" w:history="1"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пункт "т"</w:t>
        </w:r>
        <w:r>
          <w:rPr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</w:r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 статьи 8.1</w:t>
        </w:r>
      </w:hyperlink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  <w:t xml:space="preserve"> и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</w:r>
      <w:hyperlink r:id="rId12" w:tooltip="http://internet.garant.ru/document?id=26200881&amp;sub=8115" w:history="1"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статья 8.11.5</w:t>
        </w:r>
      </w:hyperlink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lineRule="auto" w:line="240"/>
        <w:rPr>
          <w:rFonts w:ascii="PT Astra Serif" w:hAnsi="PT Astra Serif" w:cs="PT Astra Serif" w:eastAsia="PT Astra Serif"/>
          <w:sz w:val="28"/>
        </w:rPr>
      </w:pPr>
      <w:r>
        <w:rPr>
          <w:rFonts w:ascii="PT Astra Serif" w:hAnsi="PT Astra Serif" w:cs="PT Astra Serif" w:eastAsia="PT Astra Serif"/>
          <w:sz w:val="28"/>
        </w:rPr>
        <w:t xml:space="preserve">Изменения в закон внесены для возможности наложения штрафных санкций за нарушение</w:t>
      </w:r>
      <w:r>
        <w:rPr>
          <w:rFonts w:ascii="PT Astra Serif" w:hAnsi="PT Astra Serif" w:cs="PT Astra Serif" w:eastAsia="PT Astra Serif"/>
          <w:sz w:val="28"/>
          <w:szCs w:val="26"/>
          <w:lang w:val="ru-RU" w:bidi="ru-RU"/>
        </w:rPr>
        <w:t xml:space="preserve"> порядка регистрации аттракционной техники, утвержденного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постановлением Правительства Белгородской области от 18 марта 2013 года № 89-пп «Об организации надзора за техническим состоянием  и безопасной эксплуатацией аттракционной техники в Белгородской области»</w:t>
      </w:r>
      <w:r>
        <w:rPr>
          <w:rFonts w:ascii="PT Astra Serif" w:hAnsi="PT Astra Serif" w:cs="PT Astra Serif" w:eastAsia="PT Astra Serif"/>
          <w:sz w:val="28"/>
        </w:rPr>
      </w:r>
      <w:r/>
    </w:p>
    <w:p>
      <w:pPr>
        <w:ind w:left="0" w:right="0" w:firstLine="709"/>
        <w:jc w:val="both"/>
        <w:spacing w:after="0" w:before="0"/>
        <w:rPr>
          <w:rFonts w:ascii="PT Astra Serif" w:hAnsi="PT Astra Serif" w:cs="PT Astra Serif" w:eastAsia="PT Astra Serif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В связи со вступлением в силу постановления Правительства Белгородской области от 06 апреля 2020 года </w:t>
      </w:r>
      <w:r>
        <w:rPr>
          <w:rFonts w:ascii="PT Astra Serif" w:hAnsi="PT Astra Serif" w:cs="PT Astra Serif" w:eastAsia="PT Astra Serif"/>
          <w:b w:val="false"/>
          <w:i w:val="false"/>
          <w:strike w:val="false"/>
          <w:sz w:val="28"/>
        </w:rPr>
        <w:t xml:space="preserve">«Об утверждении административного регламента предоставления г</w:t>
      </w:r>
      <w:r>
        <w:rPr>
          <w:rFonts w:ascii="PT Astra Serif" w:hAnsi="PT Astra Serif" w:cs="PT Astra Serif" w:eastAsia="PT Astra Serif"/>
          <w:b w:val="false"/>
          <w:i w:val="false"/>
          <w:strike w:val="false"/>
          <w:sz w:val="28"/>
        </w:rPr>
        <w:t xml:space="preserve">осударственной услуги «Государственная регистрация аттракционов» и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 признанием этим постановлением утратившим силу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постановление Правительства Белгородской области от 18 марта 2013 года № 89-пп «Об организации надзора                                  за техническим состоянием и безопасной эксплуатацией аттракционной техники в Белгородской области», считаем необходимым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  <w:t xml:space="preserve">исключить из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  <w:t xml:space="preserve"> </w:t>
      </w:r>
      <w:r>
        <w:rPr>
          <w:sz w:val="28"/>
          <w:szCs w:val="28"/>
        </w:rPr>
        <w:t xml:space="preserve">закона области № 35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  <w:t xml:space="preserve">статью </w:t>
      </w:r>
      <w:r>
        <w:rPr>
          <w:rStyle w:val="672"/>
          <w:rFonts w:ascii="PT Astra Serif" w:hAnsi="PT Astra Serif" w:cs="PT Astra Serif" w:eastAsia="PT Astra Serif"/>
          <w:b w:val="false"/>
          <w:bCs/>
          <w:color w:val="000000" w:themeColor="text1"/>
          <w:sz w:val="28"/>
          <w:szCs w:val="26"/>
          <w:lang w:val="ru-RU" w:bidi="ru-RU"/>
        </w:rPr>
        <w:t xml:space="preserve">6.28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  <w:t xml:space="preserve">,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</w:r>
      <w:hyperlink r:id="rId13" w:tooltip="http://internet.garant.ru/document?id=26200881&amp;sub=71" w:history="1"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пункт "т"</w:t>
        </w:r>
        <w:r>
          <w:rPr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</w:r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 статьи 8.1</w:t>
        </w:r>
      </w:hyperlink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6"/>
          <w:lang w:val="ru-RU" w:bidi="ru-RU"/>
        </w:rPr>
        <w:t xml:space="preserve"> и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</w:r>
      <w:hyperlink r:id="rId14" w:tooltip="http://internet.garant.ru/document?id=26200881&amp;sub=8115" w:history="1">
        <w:r>
          <w:rPr>
            <w:rStyle w:val="674"/>
            <w:rFonts w:ascii="PT Astra Serif" w:hAnsi="PT Astra Serif" w:cs="PT Astra Serif" w:eastAsia="PT Astra Serif"/>
            <w:b w:val="false"/>
            <w:color w:val="000000" w:themeColor="text1"/>
            <w:sz w:val="28"/>
            <w:szCs w:val="26"/>
            <w:lang w:val="ru-RU" w:bidi="ru-RU"/>
          </w:rPr>
          <w:t xml:space="preserve">статью 8.11.5</w:t>
        </w:r>
      </w:hyperlink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</w:rPr>
      </w:r>
      <w:r/>
    </w:p>
    <w:p>
      <w:pPr>
        <w:ind w:left="0" w:right="0" w:firstLine="709"/>
        <w:jc w:val="both"/>
        <w:spacing w:after="0" w:before="0"/>
        <w:rPr>
          <w:rFonts w:ascii="PT Astra Serif" w:hAnsi="PT Astra Serif" w:cs="PT Astra Serif" w:eastAsia="PT Astra Serif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По анализу данных за последние пять лет статья 6.28 применялась всего дважды в 2016 и 2017 годах.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</w:r>
      <w:r/>
    </w:p>
    <w:p>
      <w:pPr>
        <w:ind w:left="0" w:right="0" w:firstLine="709"/>
        <w:jc w:val="both"/>
        <w:spacing w:after="0" w:before="0"/>
        <w:rPr>
          <w:rFonts w:ascii="PT Astra Serif" w:hAnsi="PT Astra Serif" w:cs="PT Astra Serif" w:eastAsia="PT Astra Serif"/>
          <w:b w:val="false"/>
          <w:i w:val="false"/>
          <w:strike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Ответственность за нарушение федеральных правил должна устанавливаться Кодексом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Российской Федерации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 об административных правонарушениях.</w:t>
      </w:r>
      <w:r>
        <w:rPr>
          <w:rFonts w:ascii="PT Astra Serif" w:hAnsi="PT Astra Serif" w:cs="PT Astra Serif" w:eastAsia="PT Astra Serif"/>
          <w:sz w:val="28"/>
        </w:rPr>
      </w:r>
      <w:r/>
    </w:p>
    <w:p>
      <w:pPr>
        <w:ind w:firstLine="709"/>
        <w:jc w:val="both"/>
        <w:shd w:val="clear" w:fill="FFFFFF" w:color="FFFFFF"/>
        <w:tabs>
          <w:tab w:val="left" w:pos="912" w:leader="none"/>
        </w:tabs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</w:rPr>
      </w:r>
      <w:r>
        <w:rPr>
          <w:rFonts w:ascii="PT Astra Serif" w:hAnsi="PT Astra Serif" w:cs="PT Astra Serif" w:eastAsia="PT Astra Serif"/>
          <w:sz w:val="28"/>
          <w:szCs w:val="28"/>
        </w:rPr>
        <w:t xml:space="preserve">Реализация представленного законопроекта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в случае его принятия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                 не потребует внесения изменений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п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ризнания утратившими силу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или принятия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иных законов Белгородской области, а также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не повлечет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дополнительных расходов из областного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местн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ых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бюджет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ов.</w:t>
      </w:r>
      <w:r>
        <w:rPr>
          <w:rFonts w:ascii="PT Astra Serif" w:hAnsi="PT Astra Serif" w:cs="PT Astra Serif" w:eastAsia="PT Astra Serif"/>
          <w:sz w:val="28"/>
        </w:rPr>
      </w:r>
      <w:r/>
    </w:p>
    <w:p>
      <w:pPr>
        <w:pStyle w:val="670"/>
        <w:ind w:left="0" w:right="0" w:firstLine="709"/>
        <w:jc w:val="both"/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PT Astra Serif" w:hAnsi="PT Astra Serif" w:cs="PT Astra Serif" w:eastAsia="PT Astra Serif"/>
          <w:b w:val="false"/>
          <w:sz w:val="28"/>
        </w:rPr>
      </w:r>
      <w:r/>
    </w:p>
    <w:p>
      <w:pPr>
        <w:pStyle w:val="670"/>
        <w:ind w:left="0" w:right="0" w:firstLine="709"/>
        <w:jc w:val="both"/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r>
      <w:r/>
    </w:p>
    <w:p>
      <w:pPr>
        <w:pStyle w:val="670"/>
        <w:ind w:left="0" w:right="0" w:firstLine="709"/>
        <w:jc w:val="both"/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</w:r>
    </w:p>
    <w:p>
      <w:pPr>
        <w:pStyle w:val="670"/>
        <w:ind w:left="0" w:right="0" w:firstLine="0"/>
        <w:jc w:val="both"/>
        <w:rPr>
          <w:rFonts w:ascii="PT Astra Serif" w:hAnsi="PT Astra Serif" w:cs="PT Astra Serif" w:eastAsia="PT Astra Serif"/>
          <w:b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Начальник инспекции гостехнадзора                                              С.А. Савотин</w:t>
      </w:r>
      <w:r>
        <w:rPr>
          <w:b/>
        </w:rPr>
      </w:r>
    </w:p>
    <w:sectPr>
      <w:headerReference w:type="default" r:id="rId8"/>
      <w:headerReference w:type="even" r:id="rId9"/>
      <w:footnotePr/>
      <w:endnotePr/>
      <w:type w:val="nextPage"/>
      <w:pgSz w:w="11907" w:h="16840" w:orient="portrait"/>
      <w:pgMar w:top="992" w:right="624" w:bottom="682" w:left="156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separate"/>
    </w:r>
    <w:r>
      <w:rPr>
        <w:rStyle w:val="667"/>
      </w:rPr>
      <w:t xml:space="preserve">2</w:t>
    </w:r>
    <w:r>
      <w:rPr>
        <w:rStyle w:val="667"/>
      </w:rPr>
      <w:fldChar w:fldCharType="end"/>
    </w:r>
    <w:r/>
  </w:p>
  <w:p>
    <w:pPr>
      <w:pStyle w:val="665"/>
    </w:pPr>
    <w:r/>
    <w:r/>
  </w:p>
  <w:p>
    <w:pPr>
      <w:pStyle w:val="665"/>
      <w:rPr>
        <w:sz w:val="10"/>
        <w:szCs w:val="10"/>
      </w:rPr>
    </w:pPr>
    <w:r>
      <w:rPr>
        <w:sz w:val="10"/>
        <w:szCs w:val="1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/>
  </w:p>
  <w:p>
    <w:pPr>
      <w:pStyle w:val="665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5">
    <w:name w:val="Heading 1"/>
    <w:basedOn w:val="661"/>
    <w:next w:val="661"/>
    <w:link w:val="48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6">
    <w:name w:val="Heading 1 Char"/>
    <w:basedOn w:val="662"/>
    <w:link w:val="485"/>
    <w:uiPriority w:val="9"/>
    <w:rPr>
      <w:rFonts w:ascii="Arial" w:hAnsi="Arial" w:cs="Arial" w:eastAsia="Arial"/>
      <w:sz w:val="40"/>
      <w:szCs w:val="40"/>
    </w:rPr>
  </w:style>
  <w:style w:type="paragraph" w:styleId="487">
    <w:name w:val="Heading 2"/>
    <w:basedOn w:val="661"/>
    <w:next w:val="661"/>
    <w:link w:val="48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8">
    <w:name w:val="Heading 2 Char"/>
    <w:basedOn w:val="662"/>
    <w:link w:val="487"/>
    <w:uiPriority w:val="9"/>
    <w:rPr>
      <w:rFonts w:ascii="Arial" w:hAnsi="Arial" w:cs="Arial" w:eastAsia="Arial"/>
      <w:sz w:val="34"/>
    </w:rPr>
  </w:style>
  <w:style w:type="paragraph" w:styleId="489">
    <w:name w:val="Heading 3"/>
    <w:basedOn w:val="661"/>
    <w:next w:val="661"/>
    <w:link w:val="49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0">
    <w:name w:val="Heading 3 Char"/>
    <w:basedOn w:val="662"/>
    <w:link w:val="489"/>
    <w:uiPriority w:val="9"/>
    <w:rPr>
      <w:rFonts w:ascii="Arial" w:hAnsi="Arial" w:cs="Arial" w:eastAsia="Arial"/>
      <w:sz w:val="30"/>
      <w:szCs w:val="30"/>
    </w:rPr>
  </w:style>
  <w:style w:type="paragraph" w:styleId="491">
    <w:name w:val="Heading 4"/>
    <w:basedOn w:val="661"/>
    <w:next w:val="661"/>
    <w:link w:val="49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2">
    <w:name w:val="Heading 4 Char"/>
    <w:basedOn w:val="662"/>
    <w:link w:val="491"/>
    <w:uiPriority w:val="9"/>
    <w:rPr>
      <w:rFonts w:ascii="Arial" w:hAnsi="Arial" w:cs="Arial" w:eastAsia="Arial"/>
      <w:b/>
      <w:bCs/>
      <w:sz w:val="26"/>
      <w:szCs w:val="26"/>
    </w:rPr>
  </w:style>
  <w:style w:type="paragraph" w:styleId="493">
    <w:name w:val="Heading 5"/>
    <w:basedOn w:val="661"/>
    <w:next w:val="661"/>
    <w:link w:val="49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4">
    <w:name w:val="Heading 5 Char"/>
    <w:basedOn w:val="662"/>
    <w:link w:val="493"/>
    <w:uiPriority w:val="9"/>
    <w:rPr>
      <w:rFonts w:ascii="Arial" w:hAnsi="Arial" w:cs="Arial" w:eastAsia="Arial"/>
      <w:b/>
      <w:bCs/>
      <w:sz w:val="24"/>
      <w:szCs w:val="24"/>
    </w:rPr>
  </w:style>
  <w:style w:type="paragraph" w:styleId="495">
    <w:name w:val="Heading 6"/>
    <w:basedOn w:val="661"/>
    <w:next w:val="661"/>
    <w:link w:val="49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6">
    <w:name w:val="Heading 6 Char"/>
    <w:basedOn w:val="662"/>
    <w:link w:val="495"/>
    <w:uiPriority w:val="9"/>
    <w:rPr>
      <w:rFonts w:ascii="Arial" w:hAnsi="Arial" w:cs="Arial" w:eastAsia="Arial"/>
      <w:b/>
      <w:bCs/>
      <w:sz w:val="22"/>
      <w:szCs w:val="22"/>
    </w:rPr>
  </w:style>
  <w:style w:type="paragraph" w:styleId="497">
    <w:name w:val="Heading 7"/>
    <w:basedOn w:val="661"/>
    <w:next w:val="661"/>
    <w:link w:val="49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8">
    <w:name w:val="Heading 7 Char"/>
    <w:basedOn w:val="662"/>
    <w:link w:val="4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9">
    <w:name w:val="Heading 8"/>
    <w:basedOn w:val="661"/>
    <w:next w:val="661"/>
    <w:link w:val="50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0">
    <w:name w:val="Heading 8 Char"/>
    <w:basedOn w:val="662"/>
    <w:link w:val="499"/>
    <w:uiPriority w:val="9"/>
    <w:rPr>
      <w:rFonts w:ascii="Arial" w:hAnsi="Arial" w:cs="Arial" w:eastAsia="Arial"/>
      <w:i/>
      <w:iCs/>
      <w:sz w:val="22"/>
      <w:szCs w:val="22"/>
    </w:rPr>
  </w:style>
  <w:style w:type="paragraph" w:styleId="501">
    <w:name w:val="Heading 9"/>
    <w:basedOn w:val="661"/>
    <w:next w:val="661"/>
    <w:link w:val="5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2">
    <w:name w:val="Heading 9 Char"/>
    <w:basedOn w:val="662"/>
    <w:link w:val="501"/>
    <w:uiPriority w:val="9"/>
    <w:rPr>
      <w:rFonts w:ascii="Arial" w:hAnsi="Arial" w:cs="Arial" w:eastAsia="Arial"/>
      <w:i/>
      <w:iCs/>
      <w:sz w:val="21"/>
      <w:szCs w:val="21"/>
    </w:rPr>
  </w:style>
  <w:style w:type="paragraph" w:styleId="503">
    <w:name w:val="List Paragraph"/>
    <w:basedOn w:val="661"/>
    <w:qFormat/>
    <w:uiPriority w:val="34"/>
    <w:pPr>
      <w:contextualSpacing w:val="true"/>
      <w:ind w:left="720"/>
    </w:pPr>
  </w:style>
  <w:style w:type="paragraph" w:styleId="504">
    <w:name w:val="No Spacing"/>
    <w:qFormat/>
    <w:uiPriority w:val="1"/>
    <w:pPr>
      <w:spacing w:lineRule="auto" w:line="240" w:after="0" w:before="0"/>
    </w:pPr>
  </w:style>
  <w:style w:type="paragraph" w:styleId="505">
    <w:name w:val="Title"/>
    <w:basedOn w:val="661"/>
    <w:next w:val="661"/>
    <w:link w:val="5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6">
    <w:name w:val="Title Char"/>
    <w:basedOn w:val="662"/>
    <w:link w:val="505"/>
    <w:uiPriority w:val="10"/>
    <w:rPr>
      <w:sz w:val="48"/>
      <w:szCs w:val="48"/>
    </w:rPr>
  </w:style>
  <w:style w:type="paragraph" w:styleId="507">
    <w:name w:val="Subtitle"/>
    <w:basedOn w:val="661"/>
    <w:next w:val="661"/>
    <w:link w:val="508"/>
    <w:qFormat/>
    <w:uiPriority w:val="11"/>
    <w:rPr>
      <w:sz w:val="24"/>
      <w:szCs w:val="24"/>
    </w:rPr>
    <w:pPr>
      <w:spacing w:after="200" w:before="200"/>
    </w:pPr>
  </w:style>
  <w:style w:type="character" w:styleId="508">
    <w:name w:val="Subtitle Char"/>
    <w:basedOn w:val="662"/>
    <w:link w:val="507"/>
    <w:uiPriority w:val="11"/>
    <w:rPr>
      <w:sz w:val="24"/>
      <w:szCs w:val="24"/>
    </w:rPr>
  </w:style>
  <w:style w:type="paragraph" w:styleId="509">
    <w:name w:val="Quote"/>
    <w:basedOn w:val="661"/>
    <w:next w:val="661"/>
    <w:link w:val="510"/>
    <w:qFormat/>
    <w:uiPriority w:val="29"/>
    <w:rPr>
      <w:i/>
    </w:rPr>
    <w:pPr>
      <w:ind w:left="720" w:right="720"/>
    </w:pPr>
  </w:style>
  <w:style w:type="character" w:styleId="510">
    <w:name w:val="Quote Char"/>
    <w:link w:val="509"/>
    <w:uiPriority w:val="29"/>
    <w:rPr>
      <w:i/>
    </w:rPr>
  </w:style>
  <w:style w:type="paragraph" w:styleId="511">
    <w:name w:val="Intense Quote"/>
    <w:basedOn w:val="661"/>
    <w:next w:val="661"/>
    <w:link w:val="51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2">
    <w:name w:val="Intense Quote Char"/>
    <w:link w:val="511"/>
    <w:uiPriority w:val="30"/>
    <w:rPr>
      <w:i/>
    </w:rPr>
  </w:style>
  <w:style w:type="character" w:styleId="513">
    <w:name w:val="Header Char"/>
    <w:basedOn w:val="662"/>
    <w:link w:val="665"/>
    <w:uiPriority w:val="99"/>
  </w:style>
  <w:style w:type="paragraph" w:styleId="514">
    <w:name w:val="Footer"/>
    <w:basedOn w:val="661"/>
    <w:link w:val="5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5">
    <w:name w:val="Footer Char"/>
    <w:basedOn w:val="662"/>
    <w:link w:val="514"/>
    <w:uiPriority w:val="99"/>
  </w:style>
  <w:style w:type="paragraph" w:styleId="516">
    <w:name w:val="Caption"/>
    <w:basedOn w:val="661"/>
    <w:next w:val="6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7">
    <w:name w:val="Caption Char"/>
    <w:basedOn w:val="516"/>
    <w:link w:val="514"/>
    <w:uiPriority w:val="99"/>
  </w:style>
  <w:style w:type="table" w:styleId="518">
    <w:name w:val="Table Grid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9">
    <w:name w:val="Table Grid Light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0">
    <w:name w:val="Plain Table 1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1">
    <w:name w:val="Plain Table 2"/>
    <w:basedOn w:val="6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2">
    <w:name w:val="Plain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3">
    <w:name w:val="Plain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Plain Table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5">
    <w:name w:val="Grid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7">
    <w:name w:val="Grid Table 4 - Accent 1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8">
    <w:name w:val="Grid Table 4 - Accent 2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9">
    <w:name w:val="Grid Table 4 - Accent 3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0">
    <w:name w:val="Grid Table 4 - Accent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1">
    <w:name w:val="Grid Table 4 - Accent 5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2">
    <w:name w:val="Grid Table 4 - Accent 6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3">
    <w:name w:val="Grid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7">
    <w:name w:val="Grid Table 5 Dark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8">
    <w:name w:val="Grid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60">
    <w:name w:val="Grid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1">
    <w:name w:val="Grid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2">
    <w:name w:val="Grid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3">
    <w:name w:val="Grid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4">
    <w:name w:val="Grid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5">
    <w:name w:val="Grid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6">
    <w:name w:val="Grid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7">
    <w:name w:val="Grid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2">
    <w:name w:val="List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3">
    <w:name w:val="List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4">
    <w:name w:val="List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5">
    <w:name w:val="List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6">
    <w:name w:val="List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7">
    <w:name w:val="List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8">
    <w:name w:val="List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5 Dark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0">
    <w:name w:val="List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1">
    <w:name w:val="List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2">
    <w:name w:val="List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3">
    <w:name w:val="List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4">
    <w:name w:val="List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5">
    <w:name w:val="List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6">
    <w:name w:val="List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7">
    <w:name w:val="List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8">
    <w:name w:val="List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9">
    <w:name w:val="List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20">
    <w:name w:val="List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21">
    <w:name w:val="List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22">
    <w:name w:val="List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3">
    <w:name w:val="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4">
    <w:name w:val="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5">
    <w:name w:val="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6">
    <w:name w:val="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7">
    <w:name w:val="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8">
    <w:name w:val="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9">
    <w:name w:val="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0">
    <w:name w:val="Bordered &amp; 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31">
    <w:name w:val="Bordered &amp; 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2">
    <w:name w:val="Bordered &amp; 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3">
    <w:name w:val="Bordered &amp; 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4">
    <w:name w:val="Bordered &amp; 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5">
    <w:name w:val="Bordered &amp; 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6">
    <w:name w:val="Bordered &amp; 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7">
    <w:name w:val="Bordered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8">
    <w:name w:val="Bordered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9">
    <w:name w:val="Bordered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0">
    <w:name w:val="Bordered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1">
    <w:name w:val="Bordered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2">
    <w:name w:val="Bordered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3">
    <w:name w:val="Bordered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4">
    <w:name w:val="Hyperlink"/>
    <w:uiPriority w:val="99"/>
    <w:unhideWhenUsed/>
    <w:rPr>
      <w:color w:val="0000FF" w:themeColor="hyperlink"/>
      <w:u w:val="single"/>
    </w:rPr>
  </w:style>
  <w:style w:type="paragraph" w:styleId="645">
    <w:name w:val="footnote text"/>
    <w:basedOn w:val="661"/>
    <w:link w:val="646"/>
    <w:uiPriority w:val="99"/>
    <w:semiHidden/>
    <w:unhideWhenUsed/>
    <w:rPr>
      <w:sz w:val="18"/>
    </w:rPr>
    <w:pPr>
      <w:spacing w:lineRule="auto" w:line="240" w:after="40"/>
    </w:pPr>
  </w:style>
  <w:style w:type="character" w:styleId="646">
    <w:name w:val="Footnote Text Char"/>
    <w:link w:val="645"/>
    <w:uiPriority w:val="99"/>
    <w:rPr>
      <w:sz w:val="18"/>
    </w:rPr>
  </w:style>
  <w:style w:type="character" w:styleId="647">
    <w:name w:val="footnote reference"/>
    <w:basedOn w:val="662"/>
    <w:uiPriority w:val="99"/>
    <w:unhideWhenUsed/>
    <w:rPr>
      <w:vertAlign w:val="superscript"/>
    </w:rPr>
  </w:style>
  <w:style w:type="paragraph" w:styleId="648">
    <w:name w:val="endnote text"/>
    <w:basedOn w:val="661"/>
    <w:link w:val="649"/>
    <w:uiPriority w:val="99"/>
    <w:semiHidden/>
    <w:unhideWhenUsed/>
    <w:rPr>
      <w:sz w:val="20"/>
    </w:rPr>
    <w:pPr>
      <w:spacing w:lineRule="auto" w:line="240" w:after="0"/>
    </w:pPr>
  </w:style>
  <w:style w:type="character" w:styleId="649">
    <w:name w:val="Endnote Text Char"/>
    <w:link w:val="648"/>
    <w:uiPriority w:val="99"/>
    <w:rPr>
      <w:sz w:val="20"/>
    </w:rPr>
  </w:style>
  <w:style w:type="character" w:styleId="650">
    <w:name w:val="endnote reference"/>
    <w:basedOn w:val="662"/>
    <w:uiPriority w:val="99"/>
    <w:semiHidden/>
    <w:unhideWhenUsed/>
    <w:rPr>
      <w:vertAlign w:val="superscript"/>
    </w:rPr>
  </w:style>
  <w:style w:type="paragraph" w:styleId="65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5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60">
    <w:name w:val="TOC Heading"/>
    <w:uiPriority w:val="39"/>
    <w:unhideWhenUsed/>
  </w:style>
  <w:style w:type="paragraph" w:styleId="661" w:default="1">
    <w:name w:val="Normal"/>
    <w:qFormat/>
    <w:rPr>
      <w:rFonts w:ascii="Times New Roman" w:hAnsi="Times New Roman" w:cs="Times New Roman" w:eastAsia="Calibri"/>
      <w:sz w:val="20"/>
      <w:szCs w:val="20"/>
      <w:lang w:eastAsia="ru-RU"/>
    </w:rPr>
    <w:pPr>
      <w:spacing w:lineRule="auto" w:line="240" w:after="0"/>
    </w:p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Header"/>
    <w:basedOn w:val="661"/>
    <w:link w:val="666"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62"/>
    <w:link w:val="665"/>
    <w:rPr>
      <w:rFonts w:ascii="Times New Roman" w:hAnsi="Times New Roman" w:cs="Times New Roman" w:eastAsia="Calibri"/>
      <w:sz w:val="20"/>
      <w:szCs w:val="20"/>
      <w:lang w:eastAsia="ru-RU"/>
    </w:rPr>
  </w:style>
  <w:style w:type="character" w:styleId="667">
    <w:name w:val="page number"/>
    <w:basedOn w:val="662"/>
  </w:style>
  <w:style w:type="paragraph" w:styleId="668">
    <w:name w:val="Balloon Text"/>
    <w:basedOn w:val="661"/>
    <w:link w:val="669"/>
    <w:uiPriority w:val="99"/>
    <w:semiHidden/>
    <w:unhideWhenUsed/>
    <w:rPr>
      <w:rFonts w:ascii="Tahoma" w:hAnsi="Tahoma" w:cs="Tahoma"/>
      <w:sz w:val="16"/>
      <w:szCs w:val="16"/>
    </w:rPr>
  </w:style>
  <w:style w:type="character" w:styleId="669" w:customStyle="1">
    <w:name w:val="Текст выноски Знак"/>
    <w:basedOn w:val="662"/>
    <w:link w:val="668"/>
    <w:uiPriority w:val="99"/>
    <w:semiHidden/>
    <w:rPr>
      <w:rFonts w:ascii="Tahoma" w:hAnsi="Tahoma" w:cs="Tahoma" w:eastAsia="Calibri"/>
      <w:sz w:val="16"/>
      <w:szCs w:val="16"/>
      <w:lang w:eastAsia="ru-RU"/>
    </w:rPr>
  </w:style>
  <w:style w:type="paragraph" w:styleId="670">
    <w:name w:val="Обычный"/>
    <w:rPr>
      <w:rFonts w:ascii="Times New Roman" w:hAnsi="Times New Roman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71">
    <w:name w:val="ConsPlusTitlePage"/>
    <w:rPr>
      <w:rFonts w:ascii="Tahoma" w:hAnsi="Tahoma" w:cs="Tahoma" w:eastAsia="Tahoma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72">
    <w:name w:val="Цветовое выделение"/>
    <w:rPr>
      <w:rFonts w:ascii="Arial" w:hAnsi="Arial" w:cs="Arial" w:eastAsia="Arial"/>
      <w:b/>
      <w:color w:val="26282F"/>
      <w:sz w:val="24"/>
    </w:rPr>
  </w:style>
  <w:style w:type="paragraph" w:styleId="673">
    <w:name w:val="Заголовок статьи"/>
    <w:rPr>
      <w:rFonts w:ascii="Arial" w:hAnsi="Arial" w:cs="Arial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6"/>
      <w:highlight w:val="none"/>
      <w:u w:val="none"/>
      <w:vertAlign w:val="baseline"/>
      <w:rtl w:val="false"/>
      <w:cs w:val="false"/>
      <w:lang w:val="ru-RU" w:bidi="ru-RU" w:eastAsia="zh-CN"/>
    </w:rPr>
    <w:pPr>
      <w:contextualSpacing w:val="false"/>
      <w:ind w:left="1612" w:right="0" w:hanging="892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74">
    <w:name w:val="Гипертекстовая ссылка"/>
    <w:rPr>
      <w:rFonts w:ascii="Arial" w:hAnsi="Arial" w:cs="Arial" w:eastAsia="Arial"/>
      <w:b/>
      <w:color w:val="106BBE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://internet.garant.ru/document?id=26253749&amp;sub=0" TargetMode="External"/><Relationship Id="rId11" Type="http://schemas.openxmlformats.org/officeDocument/2006/relationships/hyperlink" Target="http://internet.garant.ru/document?id=26200881&amp;sub=71" TargetMode="External"/><Relationship Id="rId12" Type="http://schemas.openxmlformats.org/officeDocument/2006/relationships/hyperlink" Target="http://internet.garant.ru/document?id=26200881&amp;sub=8115" TargetMode="External"/><Relationship Id="rId13" Type="http://schemas.openxmlformats.org/officeDocument/2006/relationships/hyperlink" Target="http://internet.garant.ru/document?id=26200881&amp;sub=71" TargetMode="External"/><Relationship Id="rId14" Type="http://schemas.openxmlformats.org/officeDocument/2006/relationships/hyperlink" Target="http://internet.garant.ru/document?id=26200881&amp;sub=81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Литвишко Светлана Викторовна</dc:creator>
  <cp:revision>28</cp:revision>
  <dcterms:created xsi:type="dcterms:W3CDTF">2020-01-10T06:56:00Z</dcterms:created>
  <dcterms:modified xsi:type="dcterms:W3CDTF">2021-02-24T12:43:03Z</dcterms:modified>
</cp:coreProperties>
</file>