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отчет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воздействия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нормативного правового акта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1.1. Орган-разработчик: 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инистерство природопользования Белгородской области (далее – министерство).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приказа министерства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природопользования Белгородской области</w:t>
      </w:r>
      <w:r/>
      <w:r>
        <w:rPr>
          <w:rFonts w:ascii="Times New Roman" w:hAnsi="Times New Roman" w:eastAsia="Calibri" w:cs="Times New Roman"/>
          <w:sz w:val="28"/>
          <w:szCs w:val="28"/>
        </w:rPr>
        <w:t xml:space="preserve"> «Об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ращение существования зон санитарной охраны источников питьевого и хозяйственно-бытового водоснабжения на территории Белгородской области».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акта: начало: «16» мая 2024 г.; окончани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«29» мая 2024 г.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Степень регулирующего воздействия проекта нормативного правового акта: Средняя.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приказа министерства природопользования Белгородской области вносятся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стандарт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Еремина Све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тлана Николаевна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Должность: консультант отдела охраны почв и недропользования департамента воспроизводства окружающей среды министерства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(4722) 24-76-92;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eremina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@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belapk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в действующем нормативно-правовом регулировании описания административной процедуры установления, изменения, прекращения существования зон санитарной охраны (да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лее – ЗСО) источников питьевого и хозяйственно-бытового водоснабжения на территории Белгородской области, а также документов и сведений, полученных в рамках межведомственного информационного взаимодействия.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2.2. Информация о возникновении и выявлении про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Проблема определена по результатам мониторинга нарушений, выявленных при рассмотрении министерством пакета документов при предоставлении государственной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2.3. Негативные эффекты, возникающие в связи с наличием рассматриваемой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 описание состава, последовательности и сроков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выполнения административной процедуры проведения проверки документов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сведений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рамках предоставления государственной услуги.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соответству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Аналогичные нормативные акты приняты в Республике Крым, Псковской и Самарской областях: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приказ Министерства экологии и природных ресурсов Республики Крым «Об утверждении Административного регламента Министерства экологии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и при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родных ресурсов Республики Крым предоставления государственной услуги Министерством экологии и природных ресурсов Республики Крым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по установлению, изменению или прекращению существования зон санитарной охраны источников питьевого и хозяйственно-бытового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одоснабжения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при наличии санитарно-эпидемиологического заключения о соответствии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их санитарным правилам» от 30 июня 2020 года № 861;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приказ Комитета по природным ресурсам и экологии Псковской области «Об утверждении Административного регламента предост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авления Комитетом по природным ресурсам и экологии Псковской области государственной 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водоснабжения» от 25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юня 2021 года № 317;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приказ Министерства строительства Самарской области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«Об утверждении Административного регламента министерства строительства Самарской области по предоставлению государственной услуги «Утверждение проектов округов и зон санитарной ох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раны водных объектов, используемых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для питьевого, хозяйственно-бытового водоснабжения и в лечебных целях,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и установление границ и режима зон санитарной охраны источников питьевого и хозяйственно-бытового водоснабжения» от 9 июля 2018 года № 88-п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Упорядочение правоотношений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сфере водоснабжения на территории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 Создание оптимальных условий для пред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оставления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3.2. Обоснование соответствия целей предлагаемого правового регулиро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Необходимость обеспечения предполагаемой цели в связи с реализацией следующих нормативных актов: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Федеральными законами от 30 марта 1999 года № 52-ФЗ «О санитарно-эпидемиологическом благополучии населения»,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СанП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 2.1.4.1110-02 «Зоны санитарной охраны источников водоснабжения и водопроводов хозяйственно-питьевого назначения».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2024 - 2025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3.4.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4.1. Описание предлагаемого способа решения проблемы и преодоление связанных с ней негативных эффектов: проектом приказа министе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рства природопользования Белгородской области вносятся изменения в </w:t>
      </w:r>
      <w:bookmarkStart w:id="1" w:name="undefined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стандарт предоставления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хозяйственно-бытового водоснабжения на территории Белгородской области» в части: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вводится административная процедура проведения проверки заявления и прилагаемых документов, представленных заявителем, а также документов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сведений, полученных в рамках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межведомственного информационного взаимодействия, на наличие в них нарушений требований;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устанавливается перечень оснований для направления заявителю уведомления о необходимости устранения выявленных нарушений; 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уточняется перечень оснований для отказа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приеме документов, необходимых для предоставления государственной услуги;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уточняется перечень оснований для отказа в предоставлении государственной услуги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предоставляется возможность подать заявление и прилагаемые документы в электронном виде.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Альтернативные варианты решения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Хозяйствующие субъекты за дополнительную плату могут обращаться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специализированные организации с целью взаимодействия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с уполномоченным органом исполнительной власти (министерством природопользования Белгородск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 области) по вопросу  оказания данной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 Белгородской области стоимость услуги сопровождения варьируется от 15 тыс. руб. до 40 тыс. руб.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разработанном административном регламенте предусмотрена электронная подача минимального количества документов для оказания государственной услуги с использованием визуального конструктора, оставшаяся часть документов поступает в распоряжение органа исполн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ительной власти субъекта (министерство природопользования Белгородской области) за счет межведомственного взаимодействия.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Простота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доступность подачи документов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предлагаемым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административным регламентов позволит исключить дополнительные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затраты хозяйствующих субъектов. Как показывает практика из-за специфики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и сложности пони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необходимых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орган исполнительной власти субъекта (министерство природопользования Белгородской области) документов, прив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одит к тому, что хозяйствующие субъекты вынуждены обращаться в специализированные 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 связи с чем, предлагаемый способ решения проблем позволит исключить участие третьих лиц при оказани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услуги.</w:t>
      </w:r>
      <w:r/>
    </w:p>
    <w:p>
      <w:pPr>
        <w:pStyle w:val="839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4.4.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Индивидуальные предприниматели, юридические лица, являющиеся собственниками или эксплуатирующие водозаборные сооружения.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83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4.5. Оценка изменений обязательных требований, обязанностей, ограничений и преимуществ, ответственности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иной экономической деятельности, интересы которых затрагиваются вводимым правовым регулированием:</w:t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4251"/>
        <w:gridCol w:w="283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Индивидуальные предприниматели, юридические лица, являющиеся собственниками или эксплуатирующие водозаборные сооружения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1" w:type="dxa"/>
            <w:textDirection w:val="lrTb"/>
            <w:noWrap w:val="false"/>
          </w:tcPr>
          <w:p>
            <w:pPr>
              <w:ind w:right="57" w:hanging="28"/>
              <w:spacing w:after="0" w:line="228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Преимущество: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 определен перечень документов для предоставления услуги;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 предоставлена возможность подачи заявления и прилагаемых документов в электронном виде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(анализ поступающих заявлений для предоставления государственной услуги позволяет сделать выводы, что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количество обращений на бумажном носителе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сократится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на 30%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.</w:t>
            </w:r>
            <w:bookmarkStart w:id="2" w:name="_GoBack"/>
            <w:r/>
            <w:bookmarkEnd w:id="2"/>
            <w:r/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Обязанность: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Подача заявления и прилагаемых к нему документов для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Заключение договора на разработку и согласование проектной документации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150 тыс. 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Общая стоимость требования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:lang w:eastAsia="ru-RU"/>
              </w:rPr>
              <w:t xml:space="preserve">12 469 514,13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:lang w:eastAsia="ru-RU"/>
              </w:rPr>
              <w:t xml:space="preserve">руб</w:t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природопользования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министерства будет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видов расходов (возможных поступлений) консолидированного бюджета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5. Риски решения проблемы предложенным способом правового регулировани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694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Отсутствие возможности подачи в электронном виде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изкая</w:t>
            </w:r>
            <w:r/>
          </w:p>
          <w:p>
            <w:pPr>
              <w:jc w:val="both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не требуются дополнительные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техническ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ие возможности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мониторинг количества поданных заявлений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br/>
              <w:t xml:space="preserve">в электронном виде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1559"/>
        <w:gridCol w:w="2410"/>
        <w:gridCol w:w="1559"/>
        <w:gridCol w:w="156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Объем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министерства информации о принятии приказа министерства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квартал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Осведомленность о внесении изменений в Административный регламент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6"/>
                <w:szCs w:val="26"/>
                <w:lang w:eastAsia="ru-RU"/>
              </w:rPr>
              <w:t xml:space="preserve">Осведомленность о порядке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</w:pPr>
            <w:r/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</w:pPr>
            <w:r/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3"/>
        <w:gridCol w:w="2284"/>
        <w:gridCol w:w="2250"/>
        <w:gridCol w:w="2628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поступивших заявлений и прилагаемых документов в электронном виде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30%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Анализ поступивших заявлений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Декабрь 2025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8. Предполагаемая дата вступления в силу проекта нормативно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го правового акта: 4 квартал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2024 г.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Руководитель органа-разработчика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 природопользования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Татаринцев Р.Ю.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Название Знак"/>
    <w:basedOn w:val="648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basedOn w:val="648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48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48"/>
    <w:uiPriority w:val="99"/>
  </w:style>
  <w:style w:type="paragraph" w:styleId="691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 w:customStyle="1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 w:customStyle="1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 w:customStyle="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48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48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38"/>
    <w:next w:val="638"/>
    <w:uiPriority w:val="99"/>
    <w:unhideWhenUsed/>
    <w:pPr>
      <w:spacing w:after="0"/>
    </w:pPr>
  </w:style>
  <w:style w:type="paragraph" w:styleId="837" w:customStyle="1">
    <w:name w:val="ConsPlusNormal"/>
    <w:link w:val="84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5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6">
    <w:name w:val="Balloon Text"/>
    <w:basedOn w:val="638"/>
    <w:link w:val="8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648"/>
    <w:link w:val="846"/>
    <w:uiPriority w:val="99"/>
    <w:semiHidden/>
    <w:rPr>
      <w:rFonts w:ascii="Tahoma" w:hAnsi="Tahoma" w:cs="Tahoma"/>
      <w:sz w:val="16"/>
      <w:szCs w:val="16"/>
    </w:rPr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9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F0D-4B40-4AB0-8B10-5685FECA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19</cp:revision>
  <dcterms:created xsi:type="dcterms:W3CDTF">2024-05-08T08:41:00Z</dcterms:created>
  <dcterms:modified xsi:type="dcterms:W3CDTF">2024-05-16T06:25:45Z</dcterms:modified>
</cp:coreProperties>
</file>