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left="0" w:right="142" w:firstLine="709"/>
        <w:jc w:val="right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  <w:bCs/>
          <w:sz w:val="28"/>
          <w:szCs w:val="28"/>
        </w:rPr>
        <w:t xml:space="preserve">                                                                                            </w:t>
      </w:r>
      <w:r>
        <w:rPr>
          <w:rFonts w:eastAsia="PT Astra Serif" w:cs="PT Astra Serif"/>
        </w:rPr>
      </w:r>
      <w:r/>
    </w:p>
    <w:p>
      <w:pPr>
        <w:pStyle w:val="886"/>
        <w:ind w:right="-283" w:firstLine="709"/>
        <w:jc w:val="center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jc w:val="right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  <w:t xml:space="preserve">Проект</w:t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  <w:tab/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0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886"/>
        <w:ind w:left="0" w:right="-85" w:firstLine="709"/>
        <w:tabs>
          <w:tab w:val="left" w:pos="9213" w:leader="none"/>
        </w:tabs>
        <w:rPr>
          <w:rFonts w:eastAsia="PT Astra Serif" w:cs="PT Astra Serif"/>
        </w:rPr>
      </w:pPr>
      <w:r>
        <w:rPr>
          <w:rFonts w:eastAsia="PT Astra Serif" w:cs="PT Astra Serif"/>
        </w:rPr>
      </w:r>
      <w:r>
        <w:rPr>
          <w:rFonts w:eastAsia="PT Astra Serif" w:cs="PT Astra Serif"/>
        </w:rPr>
      </w:r>
      <w:r/>
    </w:p>
    <w:p>
      <w:pPr>
        <w:pStyle w:val="705"/>
        <w:ind w:left="0" w:right="-85" w:firstLine="709"/>
        <w:tabs>
          <w:tab w:val="left" w:pos="9213" w:leader="none"/>
        </w:tabs>
        <w:rPr>
          <w:rFonts w:ascii="PT Astra Serif" w:hAnsi="PT Astra Serif" w:eastAsia="PT Astra Serif" w:cs="PT Astra Serif"/>
          <w:lang w:val="ru-RU"/>
        </w:rPr>
      </w:pPr>
      <w:r>
        <w:rPr>
          <w:rFonts w:ascii="PT Astra Serif" w:hAnsi="PT Astra Serif" w:eastAsia="PT Astra Serif" w:cs="PT Astra Serif"/>
          <w:lang w:val="ru-RU"/>
        </w:rPr>
        <w:t xml:space="preserve">О размерах сборов, не относящихся к госу</w:t>
      </w:r>
      <w:r>
        <w:rPr>
          <w:rFonts w:ascii="PT Astra Serif" w:hAnsi="PT Astra Serif" w:eastAsia="PT Astra Serif" w:cs="PT Astra Serif"/>
          <w:lang w:val="ru-RU"/>
        </w:rPr>
        <w:t xml:space="preserve">дарственной пошлине, взимаемых на территории Белгородской области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PT Astra Serif" w:hAnsi="PT Astra Serif" w:eastAsia="PT Astra Serif" w:cs="PT Astra Serif"/>
          <w:lang w:val="ru-RU"/>
        </w:rPr>
      </w:r>
      <w:r/>
    </w:p>
    <w:p>
      <w:pPr>
        <w:ind w:left="0" w:right="-85" w:firstLine="709"/>
        <w:tabs>
          <w:tab w:val="left" w:pos="9213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/>
    </w:p>
    <w:p>
      <w:pPr>
        <w:ind w:left="0" w:right="-85" w:firstLine="709"/>
        <w:tabs>
          <w:tab w:val="left" w:pos="9213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/>
    </w:p>
    <w:p>
      <w:pPr>
        <w:ind w:left="0" w:right="-85" w:firstLine="709"/>
        <w:tabs>
          <w:tab w:val="left" w:pos="9213" w:leader="none"/>
          <w:tab w:val="left" w:pos="9354" w:leader="none"/>
          <w:tab w:val="left" w:pos="9496" w:leader="none"/>
          <w:tab w:val="left" w:pos="9638" w:leader="none"/>
        </w:tabs>
        <w:rPr>
          <w:rFonts w:ascii="PT Astra Serif" w:hAnsi="PT Astra Serif" w:eastAsia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/>
    </w:p>
    <w:p>
      <w:pPr>
        <w:ind w:left="0" w:right="0" w:firstLine="480"/>
        <w:jc w:val="both"/>
        <w:spacing w:before="0" w:after="0"/>
        <w:shd w:val="clear" w:color="ffffff" w:fill="ffffff"/>
        <w:tabs>
          <w:tab w:val="left" w:pos="850" w:leader="none"/>
        </w:tabs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   В соответствии с </w:t>
      </w:r>
      <w:hyperlink r:id="rId12" w:tooltip="https://docs.cntd.ru/document/9004875" w:history="1">
        <w:r>
          <w:rPr>
            <w:rStyle w:val="866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Постановлением Совета Министров - Правительства Российской Федерации от 13 декабря 1993 г. № 1291 «О государственном надзоре за техническим состоянием самоходных машин и других видов техники в Российской Федерации»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 </w:t>
      </w:r>
      <w:hyperlink r:id="rId13" w:tooltip="https://docs.cntd.ru/document/58863512" w:history="1">
        <w:r>
          <w:rPr>
            <w:rStyle w:val="866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приказом Министерства сельского хозяйства и продовольствия Российской Федерации от 16.07.1999 № 543            «Об утверждении перечня сборов, взимаемых органами Гостехнадзора»</w:t>
        </w:r>
      </w:hyperlink>
      <w:r>
        <w:rPr>
          <w:rFonts w:ascii="PT Astra Serif" w:hAnsi="PT Astra Serif" w:eastAsia="PT Astra Serif" w:cs="PT Astra Serif"/>
          <w:b w:val="0"/>
          <w:lang w:val="ru-RU"/>
        </w:rPr>
        <w:t xml:space="preserve"> </w:t>
      </w:r>
      <w:r>
        <w:rPr>
          <w:rFonts w:ascii="PT Astra Serif" w:hAnsi="PT Astra Serif" w:eastAsia="PT Astra Serif" w:cs="PT Astra Serif"/>
          <w:b w:val="0"/>
          <w:sz w:val="28"/>
          <w:szCs w:val="28"/>
          <w:lang w:val="ru-RU"/>
        </w:rPr>
        <w:t xml:space="preserve">Правительство Белгородской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val="ru-RU"/>
        </w:rPr>
        <w:t xml:space="preserve">п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val="ru-RU"/>
        </w:rPr>
        <w:t xml:space="preserve"> о с т а н о в л я е т: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</w:r>
      <w:r/>
    </w:p>
    <w:p>
      <w:pPr>
        <w:ind w:left="0" w:right="0" w:firstLine="480"/>
        <w:jc w:val="both"/>
        <w:spacing w:before="0" w:after="0"/>
        <w:shd w:val="clear" w:color="ffffff" w:fill="ffffff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   1. Утвердить размеры сборов, не относящихся к государственной пошлине, взимаемых на территории Белгородской области 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(прилагается).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u w:val="none"/>
        </w:rPr>
      </w:r>
      <w:r/>
    </w:p>
    <w:p>
      <w:pPr>
        <w:ind w:left="0" w:right="0" w:firstLine="480"/>
        <w:jc w:val="both"/>
        <w:spacing w:before="0" w:after="0"/>
        <w:shd w:val="clear" w:color="ffffff" w:fill="ffffff"/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    2. Лицам, освобожденным от уплаты государственной пошлины в соответствии со статьей 333.35 части второй </w:t>
      </w:r>
      <w:hyperlink r:id="rId14" w:tooltip="https://docs.cntd.ru/document/901714421" w:history="1">
        <w:r>
          <w:rPr>
            <w:rStyle w:val="866"/>
            <w:rFonts w:ascii="PT Astra Serif" w:hAnsi="PT Astra Serif" w:eastAsia="PT Astra Serif" w:cs="PT Astra Serif"/>
            <w:color w:val="000000" w:themeColor="text1"/>
            <w:sz w:val="28"/>
            <w:szCs w:val="28"/>
            <w:u w:val="none"/>
          </w:rPr>
          <w:t xml:space="preserve">Налогового кодекса Российской Федерации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u w:val="none"/>
        </w:rPr>
        <w:t xml:space="preserve">, установить размер сборов 0 рублей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none"/>
        </w:rPr>
      </w:r>
      <w:r/>
    </w:p>
    <w:p>
      <w:pPr>
        <w:ind w:left="0" w:right="57" w:firstLine="0"/>
        <w:jc w:val="both"/>
        <w:spacing w:after="6"/>
        <w:shd w:val="clear" w:color="ffffff" w:fill="ffffff"/>
        <w:tabs>
          <w:tab w:val="left" w:pos="9213" w:leader="none"/>
          <w:tab w:val="left" w:pos="9354" w:leader="none"/>
          <w:tab w:val="left" w:pos="9496" w:leader="none"/>
        </w:tabs>
        <w:rPr>
          <w:rFonts w:ascii="PT Astra Serif" w:hAnsi="PT Astra Serif" w:eastAsia="PT Astra Serif" w:cs="PT Astra Serif"/>
          <w:color w:val="000000" w:themeColor="text1"/>
          <w:sz w:val="28"/>
        </w:rP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          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3.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Контроль за</w:t>
      </w: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исполнением настоящего постановления возложить                на министра сельского хозяйства и продовольствия Белгородской области Антоненко А.А. </w:t>
      </w:r>
      <w:r>
        <w:rPr>
          <w:rFonts w:ascii="PT Astra Serif" w:hAnsi="PT Astra Serif" w:eastAsia="PT Astra Serif" w:cs="PT Astra Serif"/>
          <w:color w:val="000000" w:themeColor="text1"/>
          <w:sz w:val="28"/>
        </w:rPr>
      </w:r>
      <w:r/>
    </w:p>
    <w:p>
      <w:pPr>
        <w:ind w:left="0" w:right="57" w:firstLine="0"/>
        <w:jc w:val="both"/>
        <w:spacing w:after="6"/>
        <w:shd w:val="clear" w:color="ffffff" w:fill="ffffff"/>
        <w:tabs>
          <w:tab w:val="left" w:pos="9213" w:leader="none"/>
          <w:tab w:val="left" w:pos="9354" w:leader="none"/>
          <w:tab w:val="left" w:pos="9496" w:leader="none"/>
        </w:tabs>
        <w:rPr>
          <w:rFonts w:ascii="PT Astra Serif" w:hAnsi="PT Astra Serif" w:eastAsia="PT Astra Serif" w:cs="PT Astra Serif"/>
          <w:color w:val="000000"/>
          <w:sz w:val="28"/>
          <w:vertAlign w:val="baseli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4. Настоящее постановление вступает в силу со дня его официального опубликования.</w:t>
      </w:r>
      <w:r>
        <w:rPr>
          <w:rFonts w:ascii="PT Astra Serif" w:hAnsi="PT Astra Serif" w:eastAsia="PT Astra Serif" w:cs="PT Astra Serif"/>
          <w:color w:val="000000"/>
          <w:sz w:val="28"/>
          <w:vertAlign w:val="baseline"/>
        </w:rPr>
      </w:r>
      <w:r/>
    </w:p>
    <w:p>
      <w:pPr>
        <w:ind w:right="-141" w:firstLine="0"/>
        <w:jc w:val="both"/>
        <w:tabs>
          <w:tab w:val="left" w:pos="9213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/>
    </w:p>
    <w:p>
      <w:pPr>
        <w:ind w:right="-141" w:firstLine="0"/>
        <w:jc w:val="both"/>
        <w:tabs>
          <w:tab w:val="left" w:pos="9213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/>
    </w:p>
    <w:p>
      <w:pPr>
        <w:ind w:right="-141"/>
        <w:tabs>
          <w:tab w:val="left" w:pos="9213" w:leader="none"/>
        </w:tabs>
      </w:pPr>
      <w:r>
        <w:rPr>
          <w:b/>
          <w:sz w:val="28"/>
          <w:szCs w:val="28"/>
        </w:rPr>
        <w:t xml:space="preserve">           Губернатор</w:t>
      </w:r>
      <w:r/>
    </w:p>
    <w:p>
      <w:pPr>
        <w:pStyle w:val="726"/>
        <w:ind w:right="-141"/>
        <w:jc w:val="left"/>
        <w:tabs>
          <w:tab w:val="left" w:pos="9213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 Белгородской области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bookmarkStart w:id="4" w:name="_GoBack"/>
      <w:r/>
      <w:bookmarkEnd w:id="4"/>
      <w:r>
        <w:rPr>
          <w:sz w:val="28"/>
          <w:szCs w:val="28"/>
          <w:lang w:val="ru-RU"/>
        </w:rPr>
        <w:t xml:space="preserve">В.В. Гладков</w:t>
      </w:r>
      <w:r>
        <w:rPr>
          <w:lang w:val="ru-RU"/>
        </w:rPr>
      </w:r>
      <w:r/>
    </w:p>
    <w:p>
      <w:r/>
      <w:r/>
    </w:p>
    <w:p>
      <w:pPr>
        <w:ind w:left="5386" w:right="0" w:firstLine="0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Приложение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УТВЕРЖДЕНЫ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постановлением Правительства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Белгородской области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от «___»_________2024 г.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/>
    </w:p>
    <w:p>
      <w:pPr>
        <w:ind w:left="5386" w:righ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№______</w:t>
      </w: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left="5386" w:right="0"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r/>
      <w:r/>
    </w:p>
    <w:p>
      <w:r/>
      <w:r/>
    </w:p>
    <w:p>
      <w:r/>
      <w:r/>
    </w:p>
    <w:p>
      <w:pPr>
        <w:ind w:left="0" w:right="0" w:firstLine="0"/>
        <w:jc w:val="center"/>
        <w:spacing w:before="0"/>
        <w:shd w:val="clear" w:color="ffffff" w:fill="ffffff"/>
        <w:rPr>
          <w:rFonts w:ascii="PT Astra Serif" w:hAnsi="PT Astra Serif" w:cs="PT Astra Serif"/>
          <w:b/>
          <w:bCs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u w:val="none"/>
        </w:rPr>
        <w:t xml:space="preserve">РАЗМЕРЫ СБОРОВ, НЕ ОТНОСЯЩИХСЯ К ГОСУ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4"/>
          <w:u w:val="none"/>
        </w:rPr>
        <w:t xml:space="preserve">ДАРСТВЕННОЙ ПОШЛИНЕ, ВЗИМАЕМЫХ НА ТЕРРИТОРИИ БЕЛГОРОДСКОЙ ОБЛАСТИ ГОСУДАРСТВЕННОЙ ИНСПЕКЦИЕЙ 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PT Astra Serif" w:hAnsi="PT Astra Serif" w:cs="PT Astra Serif"/>
          <w:b/>
          <w:bCs/>
          <w:color w:val="000000" w:themeColor="text1"/>
          <w:u w:val="none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rFonts w:ascii="PT Astra Serif" w:hAnsi="PT Astra Serif" w:cs="PT Astra Serif"/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</w:r>
      <w:r>
        <w:rPr>
          <w:rFonts w:ascii="PT Astra Serif" w:hAnsi="PT Astra Serif" w:eastAsia="PT Astra Serif" w:cs="PT Astra Serif"/>
          <w:color w:val="000000" w:themeColor="text1"/>
          <w:sz w:val="24"/>
          <w:u w:val="none"/>
        </w:rPr>
        <w:br/>
      </w:r>
      <w:r>
        <w:rPr>
          <w:rFonts w:ascii="PT Astra Serif" w:hAnsi="PT Astra Serif" w:cs="PT Astra Serif"/>
          <w:color w:val="000000" w:themeColor="text1"/>
          <w:u w:val="none"/>
        </w:rPr>
      </w:r>
      <w:r/>
    </w:p>
    <w:tbl>
      <w:tblPr>
        <w:tblStyle w:val="74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33"/>
        <w:gridCol w:w="6603"/>
        <w:gridCol w:w="20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PT Astra Serif" w:hAnsi="PT Astra Serif" w:cs="PT Astra Serif"/>
                <w:color w:val="000000" w:themeColor="text1"/>
                <w:u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3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PT Astra Serif" w:hAnsi="PT Astra Serif" w:cs="PT Astra Serif"/>
                <w:color w:val="000000" w:themeColor="text1"/>
                <w:u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18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PT Astra Serif" w:hAnsi="PT Astra Serif" w:cs="PT Astra Serif"/>
                <w:color w:val="000000" w:themeColor="text1"/>
                <w:u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u w:val="none"/>
              </w:rPr>
              <w:t xml:space="preserve">N п/п</w:t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b/>
                <w:bCs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u w:val="none"/>
              </w:rPr>
              <w:t xml:space="preserve">Перечень взимаемых сборов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b/>
                <w:bCs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u w:val="none"/>
              </w:rPr>
              <w:t xml:space="preserve">Размеры сборов, руб.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1.</w:t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Проведение технического осмотра самоходной машины и других видов техники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300</w:t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2.</w:t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Проведение технического осмотра прицепа к самоходной машине</w:t>
              <w:br/>
              <w:br/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cs="PT Astra Serif"/>
                <w:color w:val="000000" w:themeColor="text1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300</w:t>
            </w:r>
            <w:r>
              <w:rPr>
                <w:rFonts w:ascii="PT Astra Serif" w:hAnsi="PT Astra Serif" w:cs="PT Astra Serif"/>
                <w:color w:val="000000" w:themeColor="text1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3.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Прием экзаменов на право управления самоходными машинами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300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4.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ыдача справки владельцу машины о совершенных регистрационных действиях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200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3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5.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660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0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  <w:t xml:space="preserve">250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u w:val="none"/>
              </w:rPr>
            </w:r>
            <w:r/>
          </w:p>
        </w:tc>
      </w:tr>
    </w:tbl>
    <w:p>
      <w:pPr>
        <w:ind w:left="0" w:right="0" w:firstLine="0"/>
        <w:jc w:val="left"/>
        <w:spacing w:before="0" w:after="0"/>
        <w:shd w:val="clear" w:color="ffffff" w:fill="ffffff"/>
        <w:rPr>
          <w:rFonts w:ascii="PT Astra Serif" w:hAnsi="PT Astra Serif" w:cs="PT Astra Serif"/>
          <w:b/>
          <w:color w:val="000000" w:themeColor="text1"/>
          <w:sz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u w:val="none"/>
        </w:rPr>
        <w:br/>
      </w:r>
      <w:r>
        <w:rPr>
          <w:rFonts w:ascii="PT Astra Serif" w:hAnsi="PT Astra Serif" w:cs="PT Astra Serif"/>
          <w:b/>
          <w:color w:val="000000" w:themeColor="text1"/>
          <w:sz w:val="28"/>
          <w:u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652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Wingdings">
    <w:panose1 w:val="05010000000000000000"/>
  </w:font>
  <w:font w:name="PT Sans">
    <w:panose1 w:val="020B0503020203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73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ascii="Wingdings" w:hAnsi="Wingdings" w:eastAsia="Wingdings" w:cs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Sans" w:hAnsi="PT Sans" w:eastAsia="PT Sans" w:cs="PT Sans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table of figures"/>
    <w:basedOn w:val="704"/>
    <w:next w:val="704"/>
    <w:uiPriority w:val="99"/>
    <w:unhideWhenUsed/>
    <w:pPr>
      <w:spacing w:after="0" w:afterAutospacing="0"/>
    </w:pPr>
  </w:style>
  <w:style w:type="character" w:styleId="687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0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6">
    <w:name w:val="Title Char"/>
    <w:basedOn w:val="714"/>
    <w:link w:val="726"/>
    <w:uiPriority w:val="10"/>
    <w:rPr>
      <w:sz w:val="48"/>
      <w:szCs w:val="48"/>
    </w:rPr>
  </w:style>
  <w:style w:type="character" w:styleId="697">
    <w:name w:val="Subtitle Char"/>
    <w:basedOn w:val="714"/>
    <w:link w:val="728"/>
    <w:uiPriority w:val="11"/>
    <w:rPr>
      <w:sz w:val="24"/>
      <w:szCs w:val="24"/>
    </w:rPr>
  </w:style>
  <w:style w:type="character" w:styleId="698">
    <w:name w:val="Quote Char"/>
    <w:link w:val="730"/>
    <w:uiPriority w:val="29"/>
    <w:rPr>
      <w:i/>
    </w:rPr>
  </w:style>
  <w:style w:type="character" w:styleId="699">
    <w:name w:val="Intense Quote Char"/>
    <w:link w:val="732"/>
    <w:uiPriority w:val="30"/>
    <w:rPr>
      <w:i/>
    </w:rPr>
  </w:style>
  <w:style w:type="character" w:styleId="700">
    <w:name w:val="Header Char"/>
    <w:basedOn w:val="714"/>
    <w:link w:val="734"/>
    <w:uiPriority w:val="99"/>
  </w:style>
  <w:style w:type="character" w:styleId="701">
    <w:name w:val="Caption Char"/>
    <w:basedOn w:val="738"/>
    <w:link w:val="736"/>
    <w:uiPriority w:val="99"/>
  </w:style>
  <w:style w:type="character" w:styleId="702">
    <w:name w:val="Footnote Text Char"/>
    <w:link w:val="867"/>
    <w:uiPriority w:val="99"/>
    <w:rPr>
      <w:sz w:val="18"/>
    </w:rPr>
  </w:style>
  <w:style w:type="character" w:styleId="703">
    <w:name w:val="Endnote Text Char"/>
    <w:link w:val="870"/>
    <w:uiPriority w:val="99"/>
    <w:rPr>
      <w:sz w:val="20"/>
    </w:rPr>
  </w:style>
  <w:style w:type="paragraph" w:styleId="704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5">
    <w:name w:val="Heading 1"/>
    <w:basedOn w:val="704"/>
    <w:next w:val="704"/>
    <w:link w:val="717"/>
    <w:pPr>
      <w:ind w:left="175"/>
      <w:jc w:val="center"/>
      <w:widowControl w:val="off"/>
      <w:outlineLvl w:val="0"/>
    </w:pPr>
    <w:rPr>
      <w:b/>
      <w:bCs/>
      <w:sz w:val="28"/>
      <w:szCs w:val="28"/>
      <w:lang w:val="en-US" w:eastAsia="en-US" w:bidi="ru-RU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704"/>
    <w:next w:val="704"/>
    <w:link w:val="727"/>
    <w:pPr>
      <w:jc w:val="center"/>
    </w:pPr>
    <w:rPr>
      <w:b/>
      <w:bCs/>
      <w:sz w:val="28"/>
      <w:lang w:val="en-US" w:eastAsia="en-US"/>
    </w:rPr>
  </w:style>
  <w:style w:type="character" w:styleId="727" w:customStyle="1">
    <w:name w:val="Название Знак"/>
    <w:link w:val="726"/>
    <w:uiPriority w:val="10"/>
    <w:rPr>
      <w:sz w:val="48"/>
      <w:szCs w:val="48"/>
    </w:rPr>
  </w:style>
  <w:style w:type="paragraph" w:styleId="728">
    <w:name w:val="Subtitle"/>
    <w:basedOn w:val="704"/>
    <w:next w:val="70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704"/>
    <w:next w:val="704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4"/>
    <w:next w:val="704"/>
    <w:link w:val="733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4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link w:val="734"/>
    <w:uiPriority w:val="99"/>
  </w:style>
  <w:style w:type="paragraph" w:styleId="736">
    <w:name w:val="Footer"/>
    <w:basedOn w:val="704"/>
    <w:link w:val="7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uiPriority w:val="99"/>
  </w:style>
  <w:style w:type="paragraph" w:styleId="738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 w:customStyle="1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 w:customStyle="1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 w:customStyle="1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704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704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704"/>
    <w:next w:val="704"/>
    <w:uiPriority w:val="39"/>
    <w:unhideWhenUsed/>
    <w:pPr>
      <w:spacing w:after="57"/>
    </w:pPr>
  </w:style>
  <w:style w:type="paragraph" w:styleId="874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5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6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7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8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9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80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1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No Spacing"/>
    <w:basedOn w:val="704"/>
    <w:uiPriority w:val="1"/>
    <w:qFormat/>
  </w:style>
  <w:style w:type="paragraph" w:styleId="884">
    <w:name w:val="List Paragraph"/>
    <w:basedOn w:val="704"/>
    <w:uiPriority w:val="34"/>
    <w:qFormat/>
    <w:pPr>
      <w:contextualSpacing/>
      <w:ind w:left="720"/>
    </w:pPr>
  </w:style>
  <w:style w:type="character" w:styleId="885" w:customStyle="1">
    <w:name w:val="Основной текст (2)_"/>
    <w:rPr>
      <w:sz w:val="28"/>
      <w:szCs w:val="28"/>
      <w:shd w:val="clear" w:color="ffffff" w:fill="ffffff"/>
    </w:rPr>
  </w:style>
  <w:style w:type="paragraph" w:styleId="886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Times New Roman" w:cs="Times New Roman"/>
      <w:b/>
      <w:sz w:val="28"/>
      <w:szCs w:val="20"/>
      <w:lang w:eastAsia="ru-RU"/>
    </w:rPr>
  </w:style>
  <w:style w:type="paragraph" w:styleId="88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docs.cntd.ru/document/9004875" TargetMode="External"/><Relationship Id="rId13" Type="http://schemas.openxmlformats.org/officeDocument/2006/relationships/hyperlink" Target="https://docs.cntd.ru/document/58863512" TargetMode="External"/><Relationship Id="rId14" Type="http://schemas.openxmlformats.org/officeDocument/2006/relationships/hyperlink" Target="https://docs.cntd.ru/document/9017144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84</cp:revision>
  <dcterms:created xsi:type="dcterms:W3CDTF">2022-03-24T06:08:00Z</dcterms:created>
  <dcterms:modified xsi:type="dcterms:W3CDTF">2024-04-24T07:29:38Z</dcterms:modified>
</cp:coreProperties>
</file>