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«</w:t>
      </w:r>
      <w:r>
        <w:t xml:space="preserve">О внесении изменений в постановление Правительства Белгородской области от 22 июня 2015 года № 251-пп</w:t>
      </w:r>
      <w:r>
        <w:t xml:space="preserve">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t xml:space="preserve">департамент</w:t>
      </w:r>
      <w:r>
        <w:t xml:space="preserve"> устойчивого развития сельских территорий </w:t>
      </w:r>
      <w:r>
        <w:t xml:space="preserve">министерства сельского хозяйства и продовольс</w:t>
      </w:r>
      <w:bookmarkStart w:id="3" w:name="_GoBack"/>
      <w:r/>
      <w:bookmarkEnd w:id="3"/>
      <w:r>
        <w:t xml:space="preserve">твия</w:t>
      </w:r>
      <w:r>
        <w:t xml:space="preserve">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</w:t>
      </w:r>
      <w:r>
        <w:t xml:space="preserve"> </w:t>
      </w:r>
      <w:r>
        <w:t xml:space="preserve">с </w:t>
      </w:r>
      <w:r>
        <w:t xml:space="preserve">2</w:t>
      </w:r>
      <w:r>
        <w:t xml:space="preserve">8</w:t>
      </w:r>
      <w:r>
        <w:t xml:space="preserve">.02.2024 по </w:t>
      </w:r>
      <w:r>
        <w:t xml:space="preserve">1</w:t>
      </w:r>
      <w:r>
        <w:t xml:space="preserve">3</w:t>
      </w:r>
      <w:r>
        <w:t xml:space="preserve">.03.2024 гг.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</w:t>
      </w:r>
      <w:r>
        <w:t xml:space="preserve">аправление по электронной почте на адрес </w:t>
      </w:r>
      <w:r>
        <w:rPr>
          <w:lang w:val="en-US"/>
        </w:rPr>
        <w:t xml:space="preserve">kna</w:t>
      </w:r>
      <w:r>
        <w:t xml:space="preserve">@</w:t>
      </w:r>
      <w:r>
        <w:rPr>
          <w:lang w:val="en-US"/>
        </w:rPr>
        <w:t xml:space="preserve">belapk</w:t>
      </w:r>
      <w:r>
        <w:t xml:space="preserve">.</w:t>
      </w:r>
      <w:r>
        <w:rPr>
          <w:lang w:val="en-US"/>
        </w:rPr>
        <w:t xml:space="preserve">ru</w:t>
      </w:r>
      <w:r>
        <w:t xml:space="preserve"> </w:t>
      </w:r>
      <w: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Колистратова</w:t>
      </w:r>
      <w:r>
        <w:t xml:space="preserve"> Наталья Александровна</w:t>
      </w:r>
      <w:r>
        <w:t xml:space="preserve">, </w:t>
      </w:r>
      <w:r>
        <w:t xml:space="preserve">заместитель начальника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Белгородской области</w:t>
      </w:r>
      <w:r>
        <w:t xml:space="preserve">, контактный </w:t>
      </w:r>
      <w:r>
        <w:t xml:space="preserve">телефон: </w:t>
      </w:r>
      <w:r>
        <w:t xml:space="preserve">  </w:t>
      </w:r>
      <w:r>
        <w:t xml:space="preserve">                              </w:t>
      </w:r>
      <w:r>
        <w:t xml:space="preserve">8 </w:t>
      </w:r>
      <w:r>
        <w:t xml:space="preserve">(4722) 24-76-</w:t>
      </w:r>
      <w:r>
        <w:t xml:space="preserve">4</w:t>
      </w:r>
      <w:r>
        <w:t xml:space="preserve">6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Проект постановления Правительства Белгородской области «</w:t>
      </w:r>
      <w:r>
        <w:t xml:space="preserve">О внесении изменений в постановление Правительства Белгородской области от 22 июня 2015 года № 251-пп</w:t>
      </w:r>
      <w:r>
        <w:t xml:space="preserve">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«</w:t>
      </w:r>
      <w:r>
        <w:t xml:space="preserve">О внесении изменений в постановление Правительства Белгородской области от 22 июня 2015 года № 251-пп</w:t>
      </w:r>
      <w:r>
        <w:t xml:space="preserve">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</w:t>
      </w:r>
      <w:r>
        <w:t xml:space="preserve">Расчет издержек</w:t>
      </w:r>
      <w:r>
        <w:t xml:space="preserve"> кооператива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</w:t>
      </w:r>
      <w:r>
        <w:rPr>
          <w:b/>
        </w:rPr>
        <w:t xml:space="preserve">ников публичных консультаций по </w:t>
      </w:r>
      <w:r>
        <w:rPr>
          <w:b/>
        </w:rPr>
        <w:t xml:space="preserve">проекту постановления Правительства Белгородской области</w:t>
      </w:r>
      <w:r>
        <w:rPr>
          <w:b/>
        </w:rPr>
        <w:t xml:space="preserve"> </w:t>
      </w:r>
      <w:r>
        <w:rPr>
          <w:b/>
        </w:rPr>
        <w:t xml:space="preserve">«</w:t>
      </w:r>
      <w:r>
        <w:rPr>
          <w:b/>
        </w:rPr>
        <w:t xml:space="preserve">О внесении изменений в постановление Правительства Белгородской области от 22 июня 2015 года № 251-пп</w:t>
      </w:r>
      <w:r>
        <w:rPr>
          <w:b/>
        </w:rPr>
        <w:t xml:space="preserve">»</w:t>
      </w:r>
      <w:r/>
    </w:p>
    <w:p>
      <w:pPr>
        <w:jc w:val="both"/>
      </w:pPr>
      <w:r>
        <w:t xml:space="preserve">Пожалуйста, заполните и направьте данную форму по электронной почте на адрес</w:t>
      </w:r>
      <w:r>
        <w:t xml:space="preserve"> </w:t>
      </w:r>
      <w:r>
        <w:rPr>
          <w:lang w:val="en-US"/>
        </w:rPr>
        <w:t xml:space="preserve">kna</w:t>
      </w:r>
      <w:r>
        <w:t xml:space="preserve">@</w:t>
      </w:r>
      <w:r>
        <w:rPr>
          <w:lang w:val="en-US"/>
        </w:rPr>
        <w:t xml:space="preserve">belapk</w:t>
      </w:r>
      <w:r>
        <w:t xml:space="preserve">.</w:t>
      </w:r>
      <w:r>
        <w:rPr>
          <w:lang w:val="en-US"/>
        </w:rPr>
        <w:t xml:space="preserve">ru</w:t>
      </w:r>
      <w:r>
        <w:t xml:space="preserve"> </w:t>
      </w:r>
      <w:r>
        <w:t xml:space="preserve">не позднее </w:t>
      </w:r>
      <w:r>
        <w:t xml:space="preserve">13</w:t>
      </w:r>
      <w:r>
        <w:t xml:space="preserve"> марта 2024 г.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</w:t>
      </w:r>
      <w:r>
        <w:t xml:space="preserve">организации: </w:t>
      </w:r>
      <w:r>
        <w:t xml:space="preserve"> </w:t>
      </w:r>
      <w:r>
        <w:t xml:space="preserve">_</w:t>
      </w:r>
      <w:r>
        <w:t xml:space="preserve">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</w:t>
      </w:r>
      <w:r>
        <w:t xml:space="preserve">телефон:</w:t>
      </w:r>
      <w:r>
        <w:t xml:space="preserve"> </w:t>
      </w:r>
      <w:r>
        <w:t xml:space="preserve"> _</w:t>
      </w:r>
      <w:r>
        <w:t xml:space="preserve">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</w:t>
      </w:r>
      <w:r>
        <w:t xml:space="preserve">иной экономической</w:t>
      </w:r>
      <w:r>
        <w:t xml:space="preserve">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t xml:space="preserve">иной экономической</w:t>
      </w:r>
      <w:r>
        <w:t xml:space="preserve">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</w:t>
      </w:r>
      <w:r>
        <w:t xml:space="preserve">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rPr>
        <w:rStyle w:val="685"/>
      </w:rPr>
      <w:framePr w:wrap="around" w:vAnchor="text" w:hAnchor="margin" w:xAlign="center" w:y="1"/>
    </w:pPr>
    <w:r>
      <w:rPr>
        <w:rStyle w:val="685"/>
      </w:rPr>
      <w:fldChar w:fldCharType="begin"/>
    </w:r>
    <w:r>
      <w:rPr>
        <w:rStyle w:val="685"/>
      </w:rPr>
      <w:instrText xml:space="preserve">PAGE  </w:instrText>
    </w:r>
    <w:r>
      <w:rPr>
        <w:rStyle w:val="685"/>
      </w:rPr>
      <w:fldChar w:fldCharType="separate"/>
    </w:r>
    <w:r>
      <w:rPr>
        <w:rStyle w:val="685"/>
      </w:rPr>
      <w:t xml:space="preserve">2</w:t>
    </w:r>
    <w:r>
      <w:rPr>
        <w:rStyle w:val="685"/>
      </w:rPr>
      <w:fldChar w:fldCharType="end"/>
    </w:r>
    <w:r/>
  </w:p>
  <w:p>
    <w:pPr>
      <w:pStyle w:val="6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rPr>
        <w:rStyle w:val="685"/>
      </w:rPr>
      <w:framePr w:wrap="around" w:vAnchor="text" w:hAnchor="margin" w:xAlign="center" w:y="1"/>
    </w:pPr>
    <w:r>
      <w:rPr>
        <w:rStyle w:val="685"/>
      </w:rPr>
      <w:fldChar w:fldCharType="begin"/>
    </w:r>
    <w:r>
      <w:rPr>
        <w:rStyle w:val="685"/>
      </w:rPr>
      <w:instrText xml:space="preserve">PAGE  </w:instrText>
    </w:r>
    <w:r>
      <w:rPr>
        <w:rStyle w:val="685"/>
      </w:rPr>
      <w:fldChar w:fldCharType="end"/>
    </w:r>
    <w:r/>
  </w:p>
  <w:p>
    <w:pPr>
      <w:pStyle w:val="6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0"/>
    <w:next w:val="68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80"/>
    <w:next w:val="68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8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0"/>
    <w:next w:val="68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0"/>
    <w:next w:val="68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0"/>
    <w:next w:val="68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0"/>
    <w:next w:val="68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0"/>
    <w:next w:val="68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0"/>
    <w:next w:val="68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0"/>
    <w:next w:val="68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8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80"/>
    <w:next w:val="68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1"/>
    <w:link w:val="33"/>
    <w:uiPriority w:val="10"/>
    <w:rPr>
      <w:sz w:val="48"/>
      <w:szCs w:val="48"/>
    </w:rPr>
  </w:style>
  <w:style w:type="paragraph" w:styleId="35">
    <w:name w:val="Subtitle"/>
    <w:basedOn w:val="680"/>
    <w:next w:val="68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1"/>
    <w:link w:val="35"/>
    <w:uiPriority w:val="11"/>
    <w:rPr>
      <w:sz w:val="24"/>
      <w:szCs w:val="24"/>
    </w:rPr>
  </w:style>
  <w:style w:type="paragraph" w:styleId="37">
    <w:name w:val="Quote"/>
    <w:basedOn w:val="680"/>
    <w:next w:val="68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0"/>
    <w:next w:val="68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81"/>
    <w:link w:val="684"/>
    <w:uiPriority w:val="99"/>
  </w:style>
  <w:style w:type="character" w:styleId="44">
    <w:name w:val="Footer Char"/>
    <w:basedOn w:val="681"/>
    <w:link w:val="686"/>
    <w:uiPriority w:val="99"/>
  </w:style>
  <w:style w:type="paragraph" w:styleId="45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6"/>
    <w:uiPriority w:val="99"/>
  </w:style>
  <w:style w:type="table" w:styleId="47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1"/>
    <w:uiPriority w:val="99"/>
    <w:unhideWhenUsed/>
    <w:rPr>
      <w:vertAlign w:val="superscript"/>
    </w:rPr>
  </w:style>
  <w:style w:type="paragraph" w:styleId="177">
    <w:name w:val="endnote text"/>
    <w:basedOn w:val="68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1"/>
    <w:uiPriority w:val="99"/>
    <w:semiHidden/>
    <w:unhideWhenUsed/>
    <w:rPr>
      <w:vertAlign w:val="superscript"/>
    </w:rPr>
  </w:style>
  <w:style w:type="paragraph" w:styleId="180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  <w:rPr>
      <w:sz w:val="24"/>
      <w:szCs w:val="24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>
    <w:name w:val="Header"/>
    <w:basedOn w:val="680"/>
    <w:link w:val="688"/>
    <w:pPr>
      <w:tabs>
        <w:tab w:val="center" w:pos="4677" w:leader="none"/>
        <w:tab w:val="right" w:pos="9355" w:leader="none"/>
      </w:tabs>
    </w:pPr>
  </w:style>
  <w:style w:type="character" w:styleId="685">
    <w:name w:val="page number"/>
    <w:basedOn w:val="681"/>
  </w:style>
  <w:style w:type="paragraph" w:styleId="686">
    <w:name w:val="Footer"/>
    <w:basedOn w:val="680"/>
    <w:pPr>
      <w:tabs>
        <w:tab w:val="center" w:pos="4677" w:leader="none"/>
        <w:tab w:val="right" w:pos="9355" w:leader="none"/>
      </w:tabs>
    </w:pPr>
  </w:style>
  <w:style w:type="character" w:styleId="687">
    <w:name w:val="Hyperlink"/>
    <w:rPr>
      <w:color w:val="0000ff"/>
      <w:u w:val="single"/>
    </w:rPr>
  </w:style>
  <w:style w:type="character" w:styleId="688" w:customStyle="1">
    <w:name w:val="Верхний колонтитул Знак"/>
    <w:link w:val="684"/>
    <w:rPr>
      <w:sz w:val="24"/>
      <w:szCs w:val="24"/>
      <w:lang w:bidi="ar-SA"/>
    </w:rPr>
  </w:style>
  <w:style w:type="paragraph" w:styleId="689" w:customStyle="1">
    <w:name w:val="ConsPlusNormal"/>
    <w:link w:val="692"/>
    <w:pPr>
      <w:widowControl w:val="off"/>
    </w:pPr>
    <w:rPr>
      <w:rFonts w:ascii="Arial" w:hAnsi="Arial" w:cs="Arial"/>
    </w:rPr>
  </w:style>
  <w:style w:type="paragraph" w:styleId="690">
    <w:name w:val="Balloon Text"/>
    <w:basedOn w:val="680"/>
    <w:link w:val="691"/>
    <w:rPr>
      <w:rFonts w:ascii="Segoe UI" w:hAnsi="Segoe UI" w:cs="Segoe UI"/>
      <w:sz w:val="18"/>
      <w:szCs w:val="18"/>
    </w:rPr>
  </w:style>
  <w:style w:type="character" w:styleId="691" w:customStyle="1">
    <w:name w:val="Текст выноски Знак"/>
    <w:link w:val="690"/>
    <w:rPr>
      <w:rFonts w:ascii="Segoe UI" w:hAnsi="Segoe UI" w:cs="Segoe UI"/>
      <w:sz w:val="18"/>
      <w:szCs w:val="18"/>
    </w:rPr>
  </w:style>
  <w:style w:type="character" w:styleId="692" w:customStyle="1">
    <w:name w:val="ConsPlusNormal Знак"/>
    <w:link w:val="68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11</cp:revision>
  <dcterms:created xsi:type="dcterms:W3CDTF">2023-03-09T13:42:00Z</dcterms:created>
  <dcterms:modified xsi:type="dcterms:W3CDTF">2024-02-28T06:20:24Z</dcterms:modified>
</cp:coreProperties>
</file>