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департамент потребительского рынка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 закона Белгородской области «О внесении изменений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br/>
        <w:t xml:space="preserve">в статью 2 закона Белгородской области «О регулировании отдельных вопросов в сфере розничной продажи алкогольной продукции»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с «22» февраля 2024 года по «07» марта 2024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правового акта содержит положения, изменяющие ранее предусмотренные нормативными правовыми актами Белгородской области обязанности для хозяйствующих субъектов, осуществляющих розничную продажу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алкогольной продукции на территории Белгородской области. Проектом закона увеличивается 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часов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время запрета розничной продажи алкогольной на отдельных территориях приграничных муниципальных образований Белгородской области.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Боровской Максим Вячеславович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регионального контроля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32-51-89. Адрес электронной почты: borovskoy@belapk.ru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Социальн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ая напряженность в рассматриваемой сфере общественных отношений на отдельных территориях приграничных муниципальных образований Белгородской области в условиях приоритетности защиты жизни и здоровья граждан в период проведения специальной военной операции.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Проблема возникла в период проведения специальной военной операции.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Случаи нарушения общественного порядка на отдельных территориях приграничных муниципальных образований Белгородской области в период проведения специальной военной операции.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Изученный опыт реализации алкогольной продукции на территории Курской и Брянской областях не предусматривает установление ограничения времени розничной продажи алкогольной продукции в период проведения специальной военной операции.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ект закона разработан в целях обеспечения безопасности жителей муниципальных образований области, исключения случаев нарушения общественного порядка в условиях приоритетности защиты жизни и здоровья граждан в период проведения специальной военной операции.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Представленный проект закона Белгородской области подготовлен в целях дополнительного регулирования розничной продажи алкогольной продукции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на территории Белгородской области в соответствии с правом устанавливать дополнительные </w:t>
      </w:r>
      <w:hyperlink r:id="rId8" w:tooltip="consultantplus://offline/ref=EDE321C9382906F26B545A4CD113F9B5EEC51573B6E7B17283A4D4460144FC5ABB5B895C4F81FB09B9CFC7356Eu7rAH" w:history="1">
        <w:r>
          <w:rPr>
            <w:rFonts w:ascii="Times New Roman" w:hAnsi="Times New Roman" w:eastAsia="Calibri" w:cs="Times New Roman"/>
            <w:sz w:val="26"/>
            <w:szCs w:val="26"/>
          </w:rPr>
          <w:t xml:space="preserve">ограничения</w:t>
        </w:r>
      </w:hyperlink>
      <w:r>
        <w:rPr>
          <w:rFonts w:ascii="Times New Roman" w:hAnsi="Times New Roman" w:eastAsia="Calibri" w:cs="Times New Roman"/>
          <w:sz w:val="26"/>
          <w:szCs w:val="26"/>
        </w:rPr>
        <w:t xml:space="preserve"> времени, условий и мест розничной продажи алкогольной продукции, предоставленным органам государственной власти субъектов Российской Федерации статьей 16 Федерального закона от 22 ноября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май 2024 года.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Законопроектом предусмотрено расширение перечня населенных пунктов,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которых ограничивается реализация алкогольной продукции с 16.00 до 11.00 часов: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п. Октябрьский Белгородского района, пгт. Томаровка Яковлевского городского округа, пгт. Борисовка Борисовского района, пгт. Красная Яруга Краснояружского района, г. Шебекино Шебекинского городского округа.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Альтернативным способом решения вышеуказанной проблемы является установление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полного запрета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розничной продажи алкогольной продукции на отдельных территориях приграничных муниципальных образований Белгородской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области.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Учитывая, что в настоящее время запрет розничной продажи алкогольной продукции на территории Белгородской области установлен с 22.00 до 10.00 часов, на выше перечисленных территориях время запрета розничной продажи алкогольной продукции составит 12 часов.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На территориях, указанных в проекте закона Белгородской области, осуществляют свою деятельность по розничной продаже алкогольной продукции 106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юридических лиц и 123 индивидуальных предпринимателя, реализующих пиво и пивные напитки.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 среднем за 1 час реализуется 2 л. крепкой алкогольной продукции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br/>
        <w:t xml:space="preserve">по средней цене за 1 л. 421 руб. и 3 л. пива и пивных напитков по средней цене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br/>
        <w:t xml:space="preserve">за 1 л. 120 руб.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Возможная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пущенная выгода (выручка) хозяйствующих субъектов,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попадающих в зону действия ограничений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при полном запрете (12 часов) на продажу алкогольных напитков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составит: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- для организаций розничной продажи алкогольной продукции: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24 л. х 421 руб. х 30 дн х 106 организаций = 32 130,72 тыс. руб. в месяц;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- для индивидуальных предпринимателей, реализующих пиво и пивные напитки: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36 л. х 120 руб. х 30 дн х 123 ИП = 15 940,8 тыс. руб. в месяц.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Расчет упущенной выгоды (выручки) 229 организациями и индивидуальными предпринимателями из расчета полного запрета продажи алкогольной продукции за месяц –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48 071,52 тыс. руб.</w:t>
      </w:r>
      <w:r>
        <w:rPr>
          <w:b/>
          <w:bCs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4.3. Обоснование выбора предлагаемого способа решения проблемы: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Предпочтительным вариантом решения выявленной проблемы является принятие проекта закона Белгородской области «О внесении изменений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br/>
        <w:t xml:space="preserve">в статью 2 закона Белгородской области «О регулировании отдельных вопросов в сфере розничной продажи алкогольной продукции».</w:t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Предлагаемое время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запрета розничной продажи алкогольной продукции с 16.00 часов до 11.00 часов является оптимальным в целях исключения нарушения общественного порядка в условиях приоритетности защиты жизни и здоровья граждан в период проведения специальной военной операции.</w:t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Согласно расчетным данным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, ограничение реализация алкогольной продукции с 16.00 до 11.00 часов повлечет наименьший размер упущенной выгоды (выручки) хозяйствующих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субъектов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практически в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1,5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раза: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highlight w:val="none"/>
          <w:lang w:eastAsia="ru-RU"/>
        </w:rPr>
        <w:t xml:space="preserve">48 071,52 тыс. руб. (полный запрет)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/>
          <w:b/>
          <w:bCs/>
          <w:i w:val="0"/>
          <w:iCs w:val="0"/>
          <w:sz w:val="26"/>
          <w:szCs w:val="26"/>
          <w:highlight w:val="none"/>
          <w:lang w:eastAsia="ru-RU"/>
        </w:rPr>
        <w:t xml:space="preserve"> 28 041,7 тыс. руб. (с 16:00 до 11:00)</w:t>
      </w: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  <w:t xml:space="preserve">=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029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 тыс. рублей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</w:r>
      <w:r>
        <w:rPr>
          <w:b/>
          <w:bCs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Предлагаемый запрет коснется только тех хозяйствующих субъектов, которые расположены на отдельных территориях приграничных муниципальных образований Белгородской области.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индив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идуальные предприниматели, осуществляющие розничную продажу пива, пивных напитков, сидра, пуаре, медовухи и розничную продажу пива, пивных напитков, сидра, пуаре, медовухи на отдельных территориях приграничных муниципальных образований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106 организаций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  <w:t xml:space="preserve">и 123 индивидуальных предпринимателя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Население отдельных территорий приграничных муниципальных образований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74,9 тыс. чел.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544"/>
        <w:gridCol w:w="297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индив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идуальные предприниматели, осуществляющие розничную продажу пива, пивных напитков, сидра, пуаре, медовухи и розничную продажу пива, пивных напитков, сидра, пуаре, медовухи на отдельных территориях приграничных муниципальных образований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Установлен запрет на розничную продажу алкогольной продукции с 16.00 часов до 11.00 часов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на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территориях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п. Октябрьский Белгородского района, пгт. Томаровка Яковлевского городского округа, пгт. Борисовка Борисовского района, пгт. Красная Яруга Краснояружского района, г. Шебекино Шебекинского городского округа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Исполнение обязанностей в соответствии с проектом закона области может привести к возникновению упущенной выгоды (выручки) в размере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28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 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041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7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тыс. рублей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в месяц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. При полном запрете составит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br/>
              <w:t xml:space="preserve">48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 071,52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 тыс.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лей.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Население отдельных территорий приграничных муниципальных образований Белгородской области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Преимущества: </w:t>
            </w:r>
            <w:r/>
          </w:p>
          <w:p>
            <w:pPr>
              <w:ind w:left="57"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 повышение уровня безопасности жителей, исключение случаев нарушения общественного порядка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Предусмотрено ограничение времени розничной продажи алкогольной продукции с 16.00 часов до 11.00 часов на отдельных территориях приграничных муниципальных образований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: п. Октябрьский Белгородского района, пгт. Томаровка Яковлевского городского округа, пгт. Борисовка Борисовского района, пгт. Красная Яруга Краснояружского района, г. Шебекино Шебекинского городского округа.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Нарушение времени запрета розничной продажи алкогольной продукции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Сведения о времени продажи алкогольной продукции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организациями находятся в распоряжении министерства сельского хозяйства и продовольствия Белгородской области. Нарушение времени розничной продажи алкогольной продукции влечет административную ответственность в соответствии с действующим законодательством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843"/>
        <w:gridCol w:w="2126"/>
        <w:gridCol w:w="1418"/>
        <w:gridCol w:w="141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16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Размещение информации в СМИ о принятии закона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февраль – март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  <w:t xml:space="preserve">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Осведомленность подконтрольных субъектов о порядке определения устанавливаемых ограничений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16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Учет субъектов в государственной информационной системе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контрольных (надзорных)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16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Подготовка ежегодного доклада о состоянии регионального государственного надзора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16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Консультирование (разъяснение по вопросам, связанным с организацией и осуществлением регионального государственного контроля (надзора)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1989"/>
        <w:gridCol w:w="2263"/>
        <w:gridCol w:w="2693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Количество выявленных нарушений продажи алкогольной продукции на территориях на установленных законом территориях в запрещенное время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не более 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Анализ количества выявленных нарушений обязательных требований за истекший период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май 2024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8. 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1 сентября 2024 года.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Министр сельского хозяйства                              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А.А. Антоненко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4" w:default="1">
    <w:name w:val="Normal"/>
    <w:qFormat/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/>
    </w:pPr>
    <w:rPr>
      <w:sz w:val="48"/>
      <w:szCs w:val="48"/>
    </w:rPr>
  </w:style>
  <w:style w:type="character" w:styleId="659" w:customStyle="1">
    <w:name w:val="Название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/>
    </w:pPr>
    <w:rPr>
      <w:sz w:val="24"/>
      <w:szCs w:val="24"/>
    </w:r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3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4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2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3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4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5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6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7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6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7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8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9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5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7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9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0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9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0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1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2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3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4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6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7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8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9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0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1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3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4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5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6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7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basedOn w:val="644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basedOn w:val="644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4"/>
    <w:next w:val="634"/>
    <w:uiPriority w:val="99"/>
    <w:unhideWhenUsed/>
    <w:pPr>
      <w:spacing w:after="0"/>
    </w:pPr>
  </w:style>
  <w:style w:type="paragraph" w:styleId="81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1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4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EDE321C9382906F26B545A4CD113F9B5EEC51573B6E7B17283A4D4460144FC5ABB5B895C4F81FB09B9CFC7356Eu7rA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47</cp:revision>
  <dcterms:created xsi:type="dcterms:W3CDTF">2022-04-27T14:18:00Z</dcterms:created>
  <dcterms:modified xsi:type="dcterms:W3CDTF">2024-02-22T13:11:56Z</dcterms:modified>
</cp:coreProperties>
</file>