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/>
      <w:bookmarkStart w:id="0" w:name="Par118"/>
      <w:r/>
      <w:bookmarkEnd w:id="0"/>
      <w:r>
        <w:rPr>
          <w:rFonts w:eastAsia="Calibri"/>
          <w:b/>
          <w:bCs/>
          <w:sz w:val="28"/>
          <w:szCs w:val="28"/>
          <w:lang w:eastAsia="en-US"/>
        </w:rPr>
        <w:t xml:space="preserve">Отчет </w:t>
      </w:r>
      <w:r/>
    </w:p>
    <w:p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 оценке фактического воздействия</w:t>
      </w:r>
      <w:r/>
    </w:p>
    <w:p>
      <w:pPr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</w:r>
      <w:r/>
    </w:p>
    <w:p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Общая информация: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 Наименование нормативного правового акта:</w:t>
      </w:r>
      <w:r>
        <w:t xml:space="preserve"> </w:t>
      </w:r>
      <w:r>
        <w:rPr>
          <w:bCs/>
          <w:sz w:val="28"/>
          <w:szCs w:val="28"/>
        </w:rPr>
        <w:t xml:space="preserve">постановление Правительства Белгородской области </w:t>
      </w:r>
      <w:r>
        <w:rPr>
          <w:bCs/>
          <w:sz w:val="28"/>
          <w:szCs w:val="28"/>
        </w:rPr>
        <w:t xml:space="preserve">от 06 февраля  2012 года № 38-пп «Об утверждении порядков, </w:t>
      </w:r>
      <w:r>
        <w:rPr>
          <w:bCs/>
          <w:sz w:val="28"/>
          <w:szCs w:val="28"/>
        </w:rPr>
        <w:t xml:space="preserve">регулирующих отдельные виды деятельности министерства социальной защиты населения и труда Белгородской области».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</w:t>
      </w:r>
      <w:r>
        <w:rPr>
          <w:sz w:val="28"/>
          <w:szCs w:val="28"/>
        </w:rPr>
        <w:t xml:space="preserve">Реквизиты и источники официального опубликования нормативного правового акта и сведения о вносившихся в нормативный правовой акт изменениях (при наличии) (в том числ</w:t>
      </w:r>
      <w:r>
        <w:rPr>
          <w:sz w:val="28"/>
          <w:szCs w:val="28"/>
        </w:rPr>
        <w:t xml:space="preserve">е вид, дата, номер, наименование, редакция, источник опубликования): текст постановления опубликован на «Официальном интернет-портале правовой информации» (www.pravo.gov.ru)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Дата вступления в силу акта и его отдельных положений:</w:t>
      </w:r>
      <w:r>
        <w:t xml:space="preserve"> </w:t>
      </w:r>
      <w:r>
        <w:rPr>
          <w:sz w:val="28"/>
          <w:szCs w:val="28"/>
        </w:rPr>
        <w:t xml:space="preserve">документ вступил в сил</w:t>
      </w:r>
      <w:r>
        <w:rPr>
          <w:sz w:val="28"/>
          <w:szCs w:val="28"/>
        </w:rPr>
        <w:t xml:space="preserve">у 30 сентября 2019 года.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Сроки проведения публичного обсуждения нормативного правового акта: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14</w:t>
      </w:r>
      <w:r>
        <w:rPr>
          <w:sz w:val="28"/>
          <w:szCs w:val="28"/>
        </w:rPr>
        <w:t xml:space="preserve"> июля 2023 года по 14 августа 2023 года.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Исполнительной орган Белгородской области – составитель отчета </w:t>
      </w:r>
      <w:r>
        <w:rPr>
          <w:sz w:val="28"/>
          <w:szCs w:val="28"/>
        </w:rPr>
        <w:br/>
        <w:t xml:space="preserve">об оценке фактического воздействия (орган –</w:t>
      </w:r>
      <w:r>
        <w:rPr>
          <w:sz w:val="28"/>
          <w:szCs w:val="28"/>
        </w:rPr>
        <w:t xml:space="preserve"> разработчик):</w:t>
      </w:r>
      <w:r>
        <w:t xml:space="preserve"> </w:t>
      </w:r>
      <w:r>
        <w:rPr>
          <w:sz w:val="28"/>
          <w:szCs w:val="28"/>
        </w:rPr>
        <w:t xml:space="preserve">министерство социальной защиты населения и  труда Белгородской области.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об исполнителе в органе-разработчике: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Глубшева</w:t>
      </w:r>
      <w:r>
        <w:rPr>
          <w:sz w:val="28"/>
          <w:szCs w:val="28"/>
        </w:rPr>
        <w:t xml:space="preserve"> Кристина Анатольевна - консультант </w:t>
      </w:r>
      <w:r>
        <w:rPr>
          <w:sz w:val="28"/>
          <w:szCs w:val="28"/>
        </w:rPr>
        <w:t xml:space="preserve">отдела трудовой миграции департамента трудовых отношений ми</w:t>
      </w:r>
      <w:r>
        <w:rPr>
          <w:sz w:val="28"/>
          <w:szCs w:val="28"/>
        </w:rPr>
        <w:t xml:space="preserve">нистерства социальной защиты населения</w:t>
      </w:r>
      <w:r>
        <w:rPr>
          <w:sz w:val="28"/>
          <w:szCs w:val="28"/>
        </w:rPr>
        <w:t xml:space="preserve">               и труда  Белгородской области.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Тел.: (4722) 32-60-12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glubsheva_ka@mst.belregion.ru.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Результаты проведения оценки регулирующего воздействия </w:t>
      </w:r>
      <w:r>
        <w:rPr>
          <w:bCs/>
          <w:sz w:val="28"/>
          <w:szCs w:val="28"/>
        </w:rPr>
        <w:br/>
        <w:t xml:space="preserve">в отношении проекта акта (при нали</w:t>
      </w:r>
      <w:r>
        <w:rPr>
          <w:bCs/>
          <w:sz w:val="28"/>
          <w:szCs w:val="28"/>
        </w:rPr>
        <w:t xml:space="preserve">чии):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</w:t>
      </w:r>
      <w:r>
        <w:rPr>
          <w:bCs/>
          <w:sz w:val="28"/>
          <w:szCs w:val="28"/>
        </w:rPr>
        <w:t xml:space="preserve">Сроки проведения публичного обсуждения проекта нормативного правового акта</w:t>
      </w:r>
      <w:r>
        <w:rPr>
          <w:sz w:val="28"/>
          <w:szCs w:val="28"/>
        </w:rPr>
        <w:t xml:space="preserve">: с 19 июня 2019 года по 02 июля 2019 года.</w:t>
      </w:r>
      <w:r/>
    </w:p>
    <w:p>
      <w:pPr>
        <w:ind w:firstLine="709"/>
        <w:jc w:val="both"/>
        <w:rPr>
          <w:sz w:val="28"/>
          <w:szCs w:val="28"/>
        </w:rPr>
      </w:pPr>
      <w:r/>
      <w:bookmarkStart w:id="1" w:name="_Hlk125630251"/>
      <w:r>
        <w:rPr>
          <w:sz w:val="28"/>
          <w:szCs w:val="28"/>
        </w:rPr>
        <w:t xml:space="preserve">2.2. Исполнительный орган Белгородской области – составитель отчета об оценке регулирующего воздействия:</w:t>
      </w:r>
      <w:bookmarkEnd w:id="1"/>
      <w:r>
        <w:t xml:space="preserve"> </w:t>
      </w:r>
      <w:r>
        <w:rPr>
          <w:sz w:val="28"/>
          <w:szCs w:val="28"/>
        </w:rPr>
        <w:t xml:space="preserve"> министерство социальн</w:t>
      </w:r>
      <w:r>
        <w:rPr>
          <w:sz w:val="28"/>
          <w:szCs w:val="28"/>
        </w:rPr>
        <w:t xml:space="preserve">ой защиты населения               и труда  Белгородской области.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Сведения о лицах, представивших предложения:</w:t>
      </w:r>
      <w:r>
        <w:t xml:space="preserve"> </w:t>
      </w:r>
      <w:r>
        <w:rPr>
          <w:sz w:val="28"/>
          <w:szCs w:val="28"/>
        </w:rPr>
        <w:t xml:space="preserve">Союз «Белгородская торгово-промышленная палата», Автономная некоммерческая организация «Институт приграничного сотрудничества и интеграции», Б</w:t>
      </w:r>
      <w:r>
        <w:rPr>
          <w:sz w:val="28"/>
          <w:szCs w:val="28"/>
        </w:rPr>
        <w:t xml:space="preserve">РОО «Центр социальных инициатив «Вера», уполномоченный по защите прав предпринимателей, ОКУ «Центры занятости населения Белгородской области», ООО «Учебно-производственное предприятие «Белгородское».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Сведения о структурных подразделениях органа-разраб</w:t>
      </w:r>
      <w:r>
        <w:rPr>
          <w:sz w:val="28"/>
          <w:szCs w:val="28"/>
        </w:rPr>
        <w:t xml:space="preserve">отчика, рассмотревших представленные предложения:</w:t>
      </w:r>
      <w:r>
        <w:t xml:space="preserve"> </w:t>
      </w:r>
      <w:r>
        <w:rPr>
          <w:sz w:val="28"/>
          <w:szCs w:val="28"/>
        </w:rPr>
        <w:t xml:space="preserve">отдел специальных программ занятости управления по труду и занятости населения Белгородской области.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2.5. Полный электронный адрес размещения документов по оценке регулирующего воздействия проекта нормативн</w:t>
      </w:r>
      <w:r>
        <w:rPr>
          <w:sz w:val="28"/>
          <w:szCs w:val="28"/>
        </w:rPr>
        <w:t xml:space="preserve">ого правового акта:</w:t>
      </w:r>
      <w:r>
        <w:t xml:space="preserve"> </w:t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министерства экономического развития и промышленности области (http://minecprom.ru/deyatelnost/ocenka-reguliruyushego-vozdejstviya/zaklyucheniya-upolnomochennogo-organa/dokumenty-po-provedeniyuorv38pp/#),   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</w:t>
      </w:r>
      <w:r>
        <w:rPr>
          <w:sz w:val="28"/>
          <w:szCs w:val="28"/>
        </w:rPr>
        <w:t xml:space="preserve">а Инвестиционном портале Белгородской области (</w:t>
      </w:r>
      <w:hyperlink r:id="rId11" w:tooltip="http://minecprom.ru/" w:history="1">
        <w:r>
          <w:rPr>
            <w:sz w:val="28"/>
            <w:szCs w:val="28"/>
          </w:rPr>
          <w:t xml:space="preserve">http://minecprom.ru/</w:t>
        </w:r>
      </w:hyperlink>
      <w:r>
        <w:rPr>
          <w:sz w:val="28"/>
          <w:szCs w:val="28"/>
        </w:rPr>
        <w:t xml:space="preserve"> dokumenty/doklady-otchety-statistika/dokumenty-po-provedeniyuorv38pp/). </w:t>
      </w:r>
      <w:r/>
    </w:p>
    <w:p>
      <w:pPr>
        <w:ind w:firstLine="709"/>
        <w:jc w:val="both"/>
      </w:pPr>
      <w:r>
        <w:rPr>
          <w:sz w:val="28"/>
          <w:szCs w:val="28"/>
        </w:rPr>
        <w:t xml:space="preserve">2.6. Иные сведения о проведении публичного обсуждения проекта нормативного </w:t>
      </w:r>
      <w:r>
        <w:rPr>
          <w:sz w:val="28"/>
          <w:szCs w:val="28"/>
        </w:rPr>
        <w:t xml:space="preserve">правового акта: отсутствуют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 Дата и реквизиты заключения об оценке регулирующего воздействия проекта нормативного правового акта:</w:t>
      </w:r>
      <w:r>
        <w:t xml:space="preserve"> </w:t>
      </w:r>
      <w:r>
        <w:rPr>
          <w:sz w:val="28"/>
          <w:szCs w:val="28"/>
        </w:rPr>
        <w:t xml:space="preserve">заключение министерства экономического развития и промышленности Белгородской области (ранее департамент экономического ра</w:t>
      </w:r>
      <w:r>
        <w:rPr>
          <w:sz w:val="28"/>
          <w:szCs w:val="28"/>
        </w:rPr>
        <w:t xml:space="preserve">звития Белгородской области) от 02 августа  2019 года.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Результаты проведения предыдущих оценок фактического воздействия нормативного правового акта (при наличии): не проводились.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Сроки проведения публичного обсуждения нормативного правового акта: </w:t>
      </w:r>
      <w:r>
        <w:rPr>
          <w:sz w:val="28"/>
          <w:szCs w:val="28"/>
        </w:rPr>
        <w:t xml:space="preserve">не проводились.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Исполнительный орган Белгородской области – составитель отчета об оценке фактического воздействия:</w:t>
      </w:r>
      <w:r>
        <w:t xml:space="preserve"> </w:t>
      </w:r>
      <w:r>
        <w:rPr>
          <w:sz w:val="28"/>
          <w:szCs w:val="28"/>
        </w:rPr>
        <w:t xml:space="preserve">-</w:t>
      </w:r>
      <w:r/>
    </w:p>
    <w:p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3.3. Контактная информация об исполнителе в органе-разработчике: 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 Дата и реквизиты заключения об оценке фактического воздействия</w:t>
      </w:r>
      <w:r>
        <w:rPr>
          <w:sz w:val="28"/>
          <w:szCs w:val="28"/>
        </w:rPr>
        <w:t xml:space="preserve"> нормативного правового акта:</w:t>
      </w:r>
      <w:r>
        <w:t xml:space="preserve"> </w:t>
      </w:r>
      <w:r>
        <w:rPr>
          <w:sz w:val="28"/>
          <w:szCs w:val="28"/>
        </w:rPr>
        <w:t xml:space="preserve">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Полный электронный адрес размещения документов по оценке фактического воздействия нормативного правового акта:</w:t>
      </w:r>
      <w:r>
        <w:t xml:space="preserve"> </w:t>
      </w:r>
      <w:r>
        <w:rPr>
          <w:sz w:val="28"/>
          <w:szCs w:val="28"/>
        </w:rPr>
        <w:t xml:space="preserve">-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Сравнительный анализ установленных в сводном отчете прогнозных показателей (индикаторов) достижения цел</w:t>
      </w:r>
      <w:r>
        <w:rPr>
          <w:sz w:val="28"/>
          <w:szCs w:val="28"/>
        </w:rPr>
        <w:t xml:space="preserve">ей и их фактических значений:</w:t>
      </w:r>
      <w:r/>
    </w:p>
    <w:tbl>
      <w:tblPr>
        <w:tblStyle w:val="852"/>
        <w:tblW w:w="10658" w:type="dxa"/>
        <w:tblLayout w:type="fixed"/>
        <w:tblLook w:val="04A0" w:firstRow="1" w:lastRow="0" w:firstColumn="1" w:lastColumn="0" w:noHBand="0" w:noVBand="1"/>
      </w:tblPr>
      <w:tblGrid>
        <w:gridCol w:w="1648"/>
        <w:gridCol w:w="1985"/>
        <w:gridCol w:w="1924"/>
        <w:gridCol w:w="1647"/>
        <w:gridCol w:w="1807"/>
        <w:gridCol w:w="1647"/>
      </w:tblGrid>
      <w:tr>
        <w:trPr/>
        <w:tc>
          <w:tcPr>
            <w:tcW w:w="1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Цель </w:t>
            </w:r>
            <w:r>
              <w:rPr>
                <w:b/>
                <w:spacing w:val="-4"/>
              </w:rPr>
              <w:t xml:space="preserve">регулиро-вания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Показатели достижения целей регулирования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Способ расчета показателя (индикатора)</w:t>
            </w:r>
            <w:r/>
          </w:p>
        </w:tc>
        <w:tc>
          <w:tcPr>
            <w:tcW w:w="1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Значение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до введения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правового регулирования</w:t>
            </w:r>
            <w:r/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Текущее значение</w:t>
            </w:r>
            <w:r/>
          </w:p>
        </w:tc>
        <w:tc>
          <w:tcPr>
            <w:tcW w:w="1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Плановое значение</w:t>
            </w:r>
            <w:r/>
          </w:p>
        </w:tc>
      </w:tr>
      <w:tr>
        <w:trPr>
          <w:trHeight w:val="572"/>
        </w:trPr>
        <w:tc>
          <w:tcPr>
            <w:tcW w:w="1647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Содействие созданию рабочих мест для трудо</w:t>
            </w:r>
            <w:r>
              <w:rPr>
                <w:color w:val="000000"/>
                <w:sz w:val="22"/>
                <w:szCs w:val="22"/>
              </w:rPr>
              <w:t xml:space="preserve">устройства инвалидов, стимулирование работодателей к приему инвалидов посредством компенсации затрат на организацию рабочего места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ежегодно  39 рабочих мест и прием на работу 39 инвалидов. Закрепление  на рабочем месте 90 %  принятых на работу </w:t>
            </w:r>
            <w:r>
              <w:rPr>
                <w:sz w:val="22"/>
                <w:szCs w:val="22"/>
              </w:rPr>
              <w:t xml:space="preserve">инвалидов.</w:t>
            </w:r>
            <w:r/>
          </w:p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Отмена обязанности работодателей предоставлять в центр занятости  договор о совместной деятельности по созданию инфраструктуры, необходимой для беспрепятственного доступа к </w:t>
            </w:r>
            <w:r>
              <w:rPr>
                <w:sz w:val="22"/>
                <w:szCs w:val="22"/>
              </w:rPr>
              <w:t xml:space="preserve">рабочим местам  и документов, подтверждающих создание инфраструктуры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</w:t>
            </w:r>
            <w:r>
              <w:rPr>
                <w:sz w:val="22"/>
                <w:szCs w:val="22"/>
              </w:rPr>
              <w:t xml:space="preserve">годно 39 рабочих мест, 39 принятых на работу инвалидов, закрепление на рабочем месте не менее 90,0% инвалидов в течение одного года.</w:t>
            </w:r>
            <w:r/>
          </w:p>
        </w:tc>
        <w:tc>
          <w:tcPr>
            <w:tcW w:w="1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 три года  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sz w:val="22"/>
                <w:szCs w:val="22"/>
              </w:rPr>
              <w:t xml:space="preserve">с 2019 по 2023 год) создано   117 рабочих мест, трудоустроено 117 инвалидов, процент </w:t>
            </w:r>
            <w:r>
              <w:rPr>
                <w:sz w:val="22"/>
                <w:szCs w:val="22"/>
              </w:rPr>
              <w:t xml:space="preserve">закрепляемости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составил  92,3.</w:t>
            </w:r>
            <w:r/>
          </w:p>
        </w:tc>
        <w:tc>
          <w:tcPr>
            <w:tcW w:w="1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три года планировалось  создать  117 рабочих мест, трудоустроить  117 инвалидов, процент </w:t>
            </w:r>
            <w:r>
              <w:rPr>
                <w:sz w:val="22"/>
                <w:szCs w:val="22"/>
              </w:rPr>
              <w:t xml:space="preserve">закрепляемости</w:t>
            </w:r>
            <w:r>
              <w:rPr>
                <w:sz w:val="22"/>
                <w:szCs w:val="22"/>
              </w:rPr>
              <w:t xml:space="preserve">  должен быть  90,0.</w:t>
            </w:r>
            <w:r/>
          </w:p>
        </w:tc>
      </w:tr>
      <w:tr>
        <w:trPr>
          <w:trHeight w:val="276"/>
        </w:trPr>
        <w:tc>
          <w:tcPr>
            <w:tcW w:w="1647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субсидий работодателям на возмещение затрат, связанных с сопровождением инвалидов при трудоустрой</w:t>
            </w:r>
            <w:r>
              <w:rPr>
                <w:color w:val="000000"/>
                <w:sz w:val="22"/>
                <w:szCs w:val="22"/>
              </w:rPr>
              <w:t xml:space="preserve">стве 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Сопровождение 61 инвалида на рабочем месте в течение 2 месяцев,  закрепление 90,0 процентов  инвалидов  на рабочих местах. Формирование оптимального комплекта документов для получения субсидии.</w:t>
            </w:r>
            <w:r/>
          </w:p>
        </w:tc>
        <w:tc>
          <w:tcPr>
            <w:tcW w:w="1924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  организовывать сопровождение для 60 инвалидов,</w:t>
            </w:r>
            <w:r>
              <w:rPr>
                <w:sz w:val="22"/>
                <w:szCs w:val="22"/>
              </w:rPr>
              <w:t xml:space="preserve"> процент </w:t>
            </w:r>
            <w:r>
              <w:rPr>
                <w:sz w:val="22"/>
                <w:szCs w:val="22"/>
              </w:rPr>
              <w:t xml:space="preserve">закрепляемости</w:t>
            </w:r>
            <w:r>
              <w:rPr>
                <w:sz w:val="22"/>
                <w:szCs w:val="22"/>
              </w:rPr>
              <w:t xml:space="preserve"> - 90,0. </w:t>
            </w:r>
            <w:r/>
          </w:p>
        </w:tc>
        <w:tc>
          <w:tcPr>
            <w:tcW w:w="1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</w:t>
            </w:r>
            <w:r/>
          </w:p>
        </w:tc>
        <w:tc>
          <w:tcPr>
            <w:tcW w:w="180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 три года  ( с 2019 по 2023 год) организовано сопровождение 183  инвалидов,</w:t>
            </w:r>
            <w:r>
              <w:rPr>
                <w:sz w:val="22"/>
                <w:szCs w:val="22"/>
              </w:rPr>
              <w:t xml:space="preserve"> ,</w:t>
            </w:r>
            <w:r>
              <w:rPr>
                <w:sz w:val="22"/>
                <w:szCs w:val="22"/>
              </w:rPr>
              <w:t xml:space="preserve"> процент </w:t>
            </w:r>
            <w:r>
              <w:rPr>
                <w:sz w:val="22"/>
                <w:szCs w:val="22"/>
              </w:rPr>
              <w:t xml:space="preserve">закрепляемости</w:t>
            </w:r>
            <w:r>
              <w:rPr>
                <w:sz w:val="22"/>
                <w:szCs w:val="22"/>
              </w:rPr>
              <w:t xml:space="preserve">  составил  93,6.</w:t>
            </w:r>
            <w:r/>
          </w:p>
        </w:tc>
        <w:tc>
          <w:tcPr>
            <w:tcW w:w="164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 три года  ( с 2019 по 2023 год) организовать сопровождение 183  инвалидов,</w:t>
            </w:r>
            <w:r>
              <w:rPr>
                <w:sz w:val="22"/>
                <w:szCs w:val="22"/>
              </w:rPr>
              <w:t xml:space="preserve"> ,</w:t>
            </w:r>
            <w:r>
              <w:rPr>
                <w:sz w:val="22"/>
                <w:szCs w:val="22"/>
              </w:rPr>
              <w:t xml:space="preserve"> процент </w:t>
            </w:r>
            <w:r>
              <w:rPr>
                <w:sz w:val="22"/>
                <w:szCs w:val="22"/>
              </w:rPr>
              <w:t xml:space="preserve">закрепляемо</w:t>
            </w:r>
            <w:r>
              <w:rPr>
                <w:sz w:val="22"/>
                <w:szCs w:val="22"/>
              </w:rPr>
              <w:t xml:space="preserve">сти</w:t>
            </w:r>
            <w:r>
              <w:rPr>
                <w:sz w:val="22"/>
                <w:szCs w:val="22"/>
              </w:rPr>
              <w:t xml:space="preserve">   должен составил  90,0.</w:t>
            </w:r>
            <w:r/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Источники данных: министерство социальной защиты населения и труда Белгородской области.</w:t>
      </w:r>
      <w:r/>
    </w:p>
    <w:p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Анализ последствий установленного правового регулирования:</w:t>
      </w:r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5.1. Анализ фактических положительных и отрицательных последствий </w:t>
      </w:r>
      <w:r>
        <w:rPr>
          <w:bCs/>
          <w:sz w:val="28"/>
          <w:szCs w:val="28"/>
        </w:rPr>
        <w:t xml:space="preserve">установленного правового регулирования:</w:t>
      </w:r>
      <w:r/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2552"/>
        <w:gridCol w:w="2411"/>
        <w:gridCol w:w="297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Описание </w:t>
            </w:r>
            <w:r>
              <w:rPr>
                <w:b/>
              </w:rPr>
              <w:t xml:space="preserve">прогнозных</w:t>
            </w:r>
            <w:r>
              <w:rPr>
                <w:b/>
              </w:rPr>
              <w:t xml:space="preserve"> положительных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и отрицательных последствий установленного регулирования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Описание </w:t>
            </w:r>
            <w:r>
              <w:rPr>
                <w:b/>
              </w:rPr>
              <w:t xml:space="preserve">фактических</w:t>
            </w:r>
            <w:r>
              <w:rPr>
                <w:b/>
              </w:rPr>
              <w:t xml:space="preserve"> положительных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и отрицательных последствий установленного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Оц</w:t>
            </w:r>
            <w:r>
              <w:rPr>
                <w:b/>
              </w:rPr>
              <w:t xml:space="preserve">енка фактических последствий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5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iCs/>
              </w:rPr>
              <w:t xml:space="preserve">Юридические лица, индивидуальные предприниматели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Целью разработанного нормативного правового акта являлось: </w:t>
            </w:r>
            <w:r/>
          </w:p>
          <w:p>
            <w:pPr>
              <w:widowControl w:val="off"/>
            </w:pPr>
            <w:r>
              <w:t xml:space="preserve">-Содействие созданию рабочих мест для трудоустройства инвалидов, стимулирование </w:t>
            </w:r>
            <w:r>
              <w:t xml:space="preserve">работодателей к приему инвалидов посредством компенсации затрат на организацию рабочего места;</w:t>
            </w:r>
            <w:r/>
          </w:p>
          <w:p>
            <w:pPr>
              <w:widowControl w:val="off"/>
            </w:pPr>
            <w:r>
              <w:t xml:space="preserve">Предоставление субсидий работодателям на возмещение затрат, связанных с сопровождением инвалидов при трудоустройстве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7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t xml:space="preserve">Утвержденный порядок </w:t>
            </w:r>
            <w:r>
              <w:t xml:space="preserve">возмещения затр</w:t>
            </w:r>
            <w:r>
              <w:t xml:space="preserve">ат (организациям и предприятиям, индивидуальным предпринимателям) </w:t>
            </w:r>
            <w:r>
              <w:t xml:space="preserve">на оборудование (оснащение) </w:t>
            </w:r>
            <w:r>
              <w:t xml:space="preserve">рабочего места для трудоустройства инвалида, участвующим в реализации Государственной программы</w:t>
            </w:r>
            <w:r>
              <w:t xml:space="preserve">,</w:t>
            </w:r>
            <w:r>
              <w:t xml:space="preserve"> позволил за  три год</w:t>
            </w:r>
            <w:r>
              <w:t xml:space="preserve">а  </w:t>
            </w:r>
            <w:r>
              <w:t xml:space="preserve">( </w:t>
            </w:r>
            <w:r>
              <w:t xml:space="preserve">с 2019 по 2023 год) создать</w:t>
            </w:r>
            <w:r>
              <w:t xml:space="preserve">  </w:t>
            </w:r>
            <w:r>
              <w:t xml:space="preserve"> 117 рабочих мест, трудоустроить</w:t>
            </w:r>
            <w:r>
              <w:t xml:space="preserve"> 117 инв</w:t>
            </w:r>
            <w:r>
              <w:t xml:space="preserve">алидов, процент </w:t>
            </w:r>
            <w:r>
              <w:t xml:space="preserve">закрепляемости</w:t>
            </w:r>
            <w:r>
              <w:t xml:space="preserve">  составил  92,3. Из областного бюджета  израсходовано 8 190,0 тысяч рублей.</w:t>
            </w:r>
            <w:r/>
          </w:p>
          <w:p>
            <w:pPr>
              <w:jc w:val="both"/>
              <w:widowControl w:val="off"/>
            </w:pPr>
            <w:r>
              <w:t xml:space="preserve">Порядок предоставления субсидий работодателям на возмещение затрат, связанных сопровождением  инвалидов при трудоустройстве, позволил  за 3 года  орг</w:t>
            </w:r>
            <w:r>
              <w:t xml:space="preserve">анизовать сопровождение 183 инвалидов. Процент </w:t>
            </w:r>
            <w:r>
              <w:t xml:space="preserve">закрепляемости</w:t>
            </w:r>
            <w:r>
              <w:t xml:space="preserve"> составил 93,6.  Из средств областного бюджета направлено и освоено   5 490,0 тысяч рублей на сопровождение инвалидов.</w:t>
            </w:r>
            <w:r/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 Анализ фактических затрат субъектов предпринимательской и иной </w:t>
      </w:r>
      <w:r>
        <w:rPr>
          <w:bCs/>
          <w:sz w:val="28"/>
          <w:szCs w:val="28"/>
        </w:rPr>
        <w:t xml:space="preserve">экономической деятельности на соблюдение установленного правового регулирования (на соблюдение обязательных требований):</w:t>
      </w:r>
      <w:r/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2693"/>
        <w:gridCol w:w="2694"/>
        <w:gridCol w:w="20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Группы заинтересованных лиц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Описание плановых затрат субъектов предпринимательской и иной экономической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Описание фактических затрат субъектов предпринимательской и иной экономической деятельности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Оценка фактических затрат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jc w:val="both"/>
              <w:widowControl w:val="off"/>
            </w:pPr>
            <w:r>
              <w:rPr>
                <w:iCs/>
              </w:rPr>
              <w:t xml:space="preserve">Юридические лица, индивидуальные предприниматели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Стандартные издержи</w:t>
            </w:r>
            <w:r/>
          </w:p>
          <w:p>
            <w:pPr>
              <w:widowControl w:val="off"/>
            </w:pPr>
            <w:r>
              <w:t xml:space="preserve"> юридических лиц, индивидуальных предпр</w:t>
            </w:r>
            <w:r>
              <w:t xml:space="preserve">инимателей  в целях возмещения  затрат на оборудование </w:t>
            </w:r>
            <w:r/>
          </w:p>
          <w:p>
            <w:pPr>
              <w:widowControl w:val="off"/>
            </w:pPr>
            <w:r>
              <w:t xml:space="preserve">( оснащение)  рабочего места для трудоустройства незанятого инвалида и на сопровождение инвалидов при трудоустройстве (наставничество) </w:t>
            </w:r>
            <w:r/>
          </w:p>
          <w:p>
            <w:pPr>
              <w:widowControl w:val="off"/>
            </w:pPr>
            <w:r>
              <w:t xml:space="preserve">на представление документов, необходимых для получения субсидий в</w:t>
            </w:r>
            <w:r>
              <w:t xml:space="preserve"> 2019 г. </w:t>
            </w:r>
            <w:r>
              <w:t xml:space="preserve">составили </w:t>
            </w:r>
            <w:r/>
          </w:p>
          <w:p>
            <w:pPr>
              <w:widowControl w:val="off"/>
              <w:rPr>
                <w:highlight w:val="yellow"/>
              </w:rPr>
            </w:pPr>
            <w:r>
              <w:t xml:space="preserve">17,6 тыс.</w:t>
            </w:r>
            <w:r>
              <w:t xml:space="preserve"> 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widowControl w:val="off"/>
            </w:pPr>
            <w:r>
              <w:t xml:space="preserve">Фактические издержи</w:t>
            </w:r>
            <w:r/>
          </w:p>
          <w:p>
            <w:pPr>
              <w:widowControl w:val="off"/>
            </w:pPr>
            <w:r>
              <w:t xml:space="preserve"> юридических лиц, индивидуальных предпринимателей  в целях возмещения  затрат на оборудование </w:t>
            </w:r>
            <w:r/>
          </w:p>
          <w:p>
            <w:pPr>
              <w:widowControl w:val="off"/>
            </w:pPr>
            <w:r>
              <w:t xml:space="preserve">( оснащение)  рабочего места для трудоустройства незанятого инвалида и на со</w:t>
            </w:r>
            <w:r>
              <w:t xml:space="preserve">провождение инвалидов при трудоустройстве (наставничество) </w:t>
            </w:r>
            <w:r/>
          </w:p>
          <w:p>
            <w:pPr>
              <w:widowControl w:val="off"/>
            </w:pPr>
            <w:r>
              <w:t xml:space="preserve">на представление документов, необходим</w:t>
            </w:r>
            <w:r>
              <w:t xml:space="preserve">ых для получения субсидий в 2023</w:t>
            </w:r>
            <w:r>
              <w:t xml:space="preserve"> г. </w:t>
            </w:r>
            <w:r>
              <w:t xml:space="preserve">составили </w:t>
            </w:r>
            <w:r/>
          </w:p>
          <w:p>
            <w:pPr>
              <w:widowControl w:val="off"/>
            </w:pPr>
            <w:r>
              <w:t xml:space="preserve">77,6 тыс. </w:t>
            </w:r>
            <w:r>
              <w:t xml:space="preserve">руб.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3" w:type="dxa"/>
            <w:textDirection w:val="lrTb"/>
            <w:noWrap w:val="false"/>
          </w:tcPr>
          <w:p>
            <w:pPr>
              <w:widowControl w:val="off"/>
            </w:pPr>
            <w:r>
              <w:t xml:space="preserve">Общие фактические</w:t>
            </w:r>
            <w:r>
              <w:t xml:space="preserve"> </w:t>
            </w:r>
            <w:r>
              <w:t xml:space="preserve">затраты</w:t>
            </w:r>
            <w:r/>
          </w:p>
          <w:p>
            <w:pPr>
              <w:widowControl w:val="off"/>
            </w:pPr>
            <w:r>
              <w:t xml:space="preserve">юридических лиц, индивидуальных предпринимателей</w:t>
            </w:r>
            <w:r>
              <w:t xml:space="preserve"> на подачу пакета документов в 2023 году увеличились на 60 тыс. руб. за счет изменения состава пакета документов и увеличения размера заработной платы</w:t>
            </w:r>
            <w:bookmarkStart w:id="2" w:name="_GoBack"/>
            <w:r/>
            <w:bookmarkEnd w:id="2"/>
            <w:r>
              <w:t xml:space="preserve"> на территории области.</w:t>
            </w:r>
            <w:r/>
          </w:p>
        </w:tc>
      </w:tr>
    </w:tbl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 Анализ </w:t>
      </w:r>
      <w:r>
        <w:rPr>
          <w:bCs/>
          <w:sz w:val="28"/>
          <w:szCs w:val="28"/>
        </w:rPr>
        <w:t xml:space="preserve">расходов (возможных поступлений) консолидированного бюджета Белгородской области:</w:t>
      </w:r>
      <w:r/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2126"/>
        <w:gridCol w:w="2126"/>
        <w:gridCol w:w="311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iCs/>
                <w:highlight w:val="yellow"/>
              </w:rPr>
            </w:pPr>
            <w:r>
              <w:rPr>
                <w:b/>
                <w:iCs/>
              </w:rPr>
              <w:t xml:space="preserve">Описание расходов (поступлений) консолидированного бюджета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Плановая количественная оценка,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Фактическая количественная оценка, </w:t>
            </w:r>
            <w:r/>
          </w:p>
          <w:p>
            <w:pPr>
              <w:jc w:val="center"/>
              <w:widowControl w:val="off"/>
              <w:rPr>
                <w:b/>
                <w:highlight w:val="yellow"/>
              </w:rPr>
            </w:pPr>
            <w:r>
              <w:rPr>
                <w:b/>
              </w:rPr>
              <w:t xml:space="preserve">тыс. рублей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Оценка фактических расходов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в сравнении </w:t>
            </w:r>
            <w:r/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 прогнозными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jc w:val="center"/>
              <w:widowControl w:val="off"/>
              <w:rPr>
                <w:iCs/>
                <w:highlight w:val="yellow"/>
              </w:rPr>
            </w:pPr>
            <w:r>
              <w:rPr>
                <w:iCs/>
              </w:rPr>
              <w:t xml:space="preserve">Выдача субсидии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Из средств областного бюджета направлено и освоено  8 190,0 тысяч рублей  на оборудование рабочих мест и 5 490,0 тысяч рублей на сопровождение инвалидов.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Из средств областного бюджета</w:t>
            </w:r>
            <w:r>
              <w:t xml:space="preserve"> направлено и освоено  8 190,0 тысяч рублей  на оборудование рабочих мест и 5 490,0 тысяч рублей на сопровождение инвалидов.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Отклонений не выявлено</w:t>
            </w:r>
            <w:r/>
          </w:p>
        </w:tc>
      </w:tr>
    </w:tbl>
    <w:p>
      <w:pPr>
        <w:ind w:firstLine="709"/>
        <w:jc w:val="both"/>
      </w:pPr>
      <w:r>
        <w:rPr>
          <w:bCs/>
          <w:sz w:val="28"/>
          <w:szCs w:val="28"/>
        </w:rPr>
        <w:t xml:space="preserve">6. Оценка соблюдения принципов установления и оценки применения обязательных требований: не устанавливались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Иные сведения, позволяющие оценить фактическое воздействие:</w:t>
      </w:r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7.1. Иные сведения: отсутствуют</w:t>
      </w:r>
      <w:r/>
    </w:p>
    <w:p>
      <w:pPr>
        <w:ind w:firstLine="709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7.2. Источники данных: -</w:t>
      </w:r>
      <w:r>
        <w:rPr>
          <w:rFonts w:eastAsia="Calibri"/>
          <w:sz w:val="28"/>
          <w:szCs w:val="28"/>
        </w:rPr>
        <w:t xml:space="preserve"> 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709" w:bottom="851" w:left="851" w:header="709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71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62"/>
    <w:link w:val="653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62"/>
    <w:link w:val="65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62"/>
    <w:link w:val="655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62"/>
    <w:link w:val="656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62"/>
    <w:link w:val="657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62"/>
    <w:link w:val="658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62"/>
    <w:link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62"/>
    <w:link w:val="660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62"/>
    <w:link w:val="661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62"/>
    <w:link w:val="698"/>
    <w:uiPriority w:val="10"/>
    <w:rPr>
      <w:sz w:val="48"/>
      <w:szCs w:val="48"/>
    </w:rPr>
  </w:style>
  <w:style w:type="character" w:styleId="36">
    <w:name w:val="Subtitle Char"/>
    <w:basedOn w:val="662"/>
    <w:link w:val="699"/>
    <w:uiPriority w:val="11"/>
    <w:rPr>
      <w:sz w:val="24"/>
      <w:szCs w:val="24"/>
    </w:rPr>
  </w:style>
  <w:style w:type="character" w:styleId="38">
    <w:name w:val="Quote Char"/>
    <w:link w:val="700"/>
    <w:uiPriority w:val="29"/>
    <w:rPr>
      <w:i/>
    </w:rPr>
  </w:style>
  <w:style w:type="character" w:styleId="40">
    <w:name w:val="Intense Quote Char"/>
    <w:link w:val="701"/>
    <w:uiPriority w:val="30"/>
    <w:rPr>
      <w:i/>
    </w:rPr>
  </w:style>
  <w:style w:type="table" w:styleId="49">
    <w:name w:val="Plain Table 1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">
    <w:name w:val="Grid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">
    <w:name w:val="Grid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5">
    <w:name w:val="List Table 7 Colorful"/>
    <w:basedOn w:val="6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character" w:styleId="175">
    <w:name w:val="Footnote Text Char"/>
    <w:link w:val="702"/>
    <w:uiPriority w:val="99"/>
    <w:rPr>
      <w:sz w:val="18"/>
    </w:rPr>
  </w:style>
  <w:style w:type="character" w:styleId="176">
    <w:name w:val="footnote reference"/>
    <w:basedOn w:val="662"/>
    <w:uiPriority w:val="99"/>
    <w:unhideWhenUsed/>
    <w:rPr>
      <w:vertAlign w:val="superscript"/>
    </w:rPr>
  </w:style>
  <w:style w:type="character" w:styleId="178">
    <w:name w:val="Endnote Text Char"/>
    <w:link w:val="703"/>
    <w:uiPriority w:val="99"/>
    <w:rPr>
      <w:sz w:val="20"/>
    </w:rPr>
  </w:style>
  <w:style w:type="character" w:styleId="179">
    <w:name w:val="endnote reference"/>
    <w:basedOn w:val="662"/>
    <w:uiPriority w:val="99"/>
    <w:semiHidden/>
    <w:unhideWhenUsed/>
    <w:rPr>
      <w:vertAlign w:val="superscript"/>
    </w:rPr>
  </w:style>
  <w:style w:type="paragraph" w:styleId="652" w:default="1">
    <w:name w:val="Normal"/>
    <w:qFormat/>
    <w:rPr>
      <w:sz w:val="24"/>
      <w:szCs w:val="24"/>
    </w:rPr>
  </w:style>
  <w:style w:type="paragraph" w:styleId="653">
    <w:name w:val="Heading 1"/>
    <w:basedOn w:val="652"/>
    <w:next w:val="652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4">
    <w:name w:val="Heading 2"/>
    <w:basedOn w:val="652"/>
    <w:next w:val="652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5">
    <w:name w:val="Heading 3"/>
    <w:basedOn w:val="652"/>
    <w:next w:val="652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6">
    <w:name w:val="Heading 4"/>
    <w:basedOn w:val="652"/>
    <w:next w:val="652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7">
    <w:name w:val="Heading 5"/>
    <w:basedOn w:val="652"/>
    <w:next w:val="652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8">
    <w:name w:val="Heading 6"/>
    <w:basedOn w:val="652"/>
    <w:next w:val="652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9">
    <w:name w:val="Heading 7"/>
    <w:basedOn w:val="652"/>
    <w:next w:val="652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652"/>
    <w:next w:val="65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1">
    <w:name w:val="Heading 9"/>
    <w:basedOn w:val="652"/>
    <w:next w:val="65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2" w:default="1">
    <w:name w:val="Default Paragraph Font"/>
    <w:uiPriority w:val="1"/>
    <w:semiHidden/>
    <w:unhideWhenUsed/>
  </w:style>
  <w:style w:type="table" w:styleId="6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4" w:default="1">
    <w:name w:val="No List"/>
    <w:uiPriority w:val="99"/>
    <w:semiHidden/>
    <w:unhideWhenUsed/>
  </w:style>
  <w:style w:type="character" w:styleId="665" w:customStyle="1">
    <w:name w:val="Заголовок 1 Знак"/>
    <w:basedOn w:val="662"/>
    <w:uiPriority w:val="9"/>
    <w:qFormat/>
    <w:rPr>
      <w:rFonts w:ascii="Arial" w:hAnsi="Arial" w:eastAsia="Arial" w:cs="Arial"/>
      <w:sz w:val="40"/>
      <w:szCs w:val="40"/>
    </w:rPr>
  </w:style>
  <w:style w:type="character" w:styleId="666" w:customStyle="1">
    <w:name w:val="Заголовок 2 Знак"/>
    <w:basedOn w:val="662"/>
    <w:link w:val="654"/>
    <w:uiPriority w:val="9"/>
    <w:qFormat/>
    <w:rPr>
      <w:rFonts w:ascii="Arial" w:hAnsi="Arial" w:eastAsia="Arial" w:cs="Arial"/>
      <w:sz w:val="34"/>
    </w:rPr>
  </w:style>
  <w:style w:type="character" w:styleId="667" w:customStyle="1">
    <w:name w:val="Заголовок 3 Знак"/>
    <w:basedOn w:val="662"/>
    <w:uiPriority w:val="9"/>
    <w:qFormat/>
    <w:rPr>
      <w:rFonts w:ascii="Arial" w:hAnsi="Arial" w:eastAsia="Arial" w:cs="Arial"/>
      <w:sz w:val="30"/>
      <w:szCs w:val="30"/>
    </w:rPr>
  </w:style>
  <w:style w:type="character" w:styleId="668" w:customStyle="1">
    <w:name w:val="Заголовок 4 Знак"/>
    <w:basedOn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9" w:customStyle="1">
    <w:name w:val="Заголовок 5 Знак"/>
    <w:basedOn w:val="66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0" w:customStyle="1">
    <w:name w:val="Заголовок 6 Знак"/>
    <w:basedOn w:val="662"/>
    <w:link w:val="65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1" w:customStyle="1">
    <w:name w:val="Заголовок 7 Знак"/>
    <w:basedOn w:val="662"/>
    <w:link w:val="65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2" w:customStyle="1">
    <w:name w:val="Заголовок 8 Знак"/>
    <w:basedOn w:val="662"/>
    <w:link w:val="66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3" w:customStyle="1">
    <w:name w:val="Заголовок 9 Знак"/>
    <w:basedOn w:val="662"/>
    <w:link w:val="66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4" w:customStyle="1">
    <w:name w:val="Название Знак"/>
    <w:basedOn w:val="662"/>
    <w:link w:val="698"/>
    <w:uiPriority w:val="10"/>
    <w:qFormat/>
    <w:rPr>
      <w:sz w:val="48"/>
      <w:szCs w:val="48"/>
    </w:rPr>
  </w:style>
  <w:style w:type="character" w:styleId="675" w:customStyle="1">
    <w:name w:val="Подзаголовок Знак"/>
    <w:basedOn w:val="662"/>
    <w:link w:val="699"/>
    <w:uiPriority w:val="11"/>
    <w:qFormat/>
    <w:rPr>
      <w:sz w:val="24"/>
      <w:szCs w:val="24"/>
    </w:rPr>
  </w:style>
  <w:style w:type="character" w:styleId="676" w:customStyle="1">
    <w:name w:val="Цитата 2 Знак"/>
    <w:link w:val="700"/>
    <w:uiPriority w:val="29"/>
    <w:qFormat/>
    <w:rPr>
      <w:i/>
    </w:rPr>
  </w:style>
  <w:style w:type="character" w:styleId="677" w:customStyle="1">
    <w:name w:val="Выделенная цитата Знак"/>
    <w:link w:val="701"/>
    <w:uiPriority w:val="30"/>
    <w:qFormat/>
    <w:rPr>
      <w:i/>
    </w:rPr>
  </w:style>
  <w:style w:type="character" w:styleId="678" w:customStyle="1">
    <w:name w:val="Header Char"/>
    <w:basedOn w:val="662"/>
    <w:uiPriority w:val="99"/>
    <w:qFormat/>
  </w:style>
  <w:style w:type="character" w:styleId="679" w:customStyle="1">
    <w:name w:val="Footer Char"/>
    <w:basedOn w:val="662"/>
    <w:uiPriority w:val="99"/>
    <w:qFormat/>
  </w:style>
  <w:style w:type="character" w:styleId="680" w:customStyle="1">
    <w:name w:val="Caption Char"/>
    <w:uiPriority w:val="99"/>
    <w:qFormat/>
  </w:style>
  <w:style w:type="character" w:styleId="681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82" w:customStyle="1">
    <w:name w:val="Текст сноски Знак"/>
    <w:link w:val="702"/>
    <w:uiPriority w:val="99"/>
    <w:qFormat/>
    <w:rPr>
      <w:sz w:val="18"/>
    </w:rPr>
  </w:style>
  <w:style w:type="character" w:styleId="683" w:customStyle="1">
    <w:name w:val="Привязка сноски"/>
    <w:rPr>
      <w:vertAlign w:val="superscript"/>
    </w:rPr>
  </w:style>
  <w:style w:type="character" w:styleId="684" w:customStyle="1">
    <w:name w:val="Footnote Characters"/>
    <w:basedOn w:val="662"/>
    <w:uiPriority w:val="99"/>
    <w:unhideWhenUsed/>
    <w:qFormat/>
    <w:rPr>
      <w:vertAlign w:val="superscript"/>
    </w:rPr>
  </w:style>
  <w:style w:type="character" w:styleId="685" w:customStyle="1">
    <w:name w:val="Текст концевой сноски Знак"/>
    <w:link w:val="703"/>
    <w:uiPriority w:val="99"/>
    <w:qFormat/>
    <w:rPr>
      <w:sz w:val="20"/>
    </w:rPr>
  </w:style>
  <w:style w:type="character" w:styleId="686" w:customStyle="1">
    <w:name w:val="Привязка концевой сноски"/>
    <w:rPr>
      <w:vertAlign w:val="superscript"/>
    </w:rPr>
  </w:style>
  <w:style w:type="character" w:styleId="687" w:customStyle="1">
    <w:name w:val="Endnote Characters"/>
    <w:basedOn w:val="662"/>
    <w:uiPriority w:val="99"/>
    <w:semiHidden/>
    <w:unhideWhenUsed/>
    <w:qFormat/>
    <w:rPr>
      <w:vertAlign w:val="superscript"/>
    </w:rPr>
  </w:style>
  <w:style w:type="character" w:styleId="688" w:customStyle="1">
    <w:name w:val="Верхний колонтитул Знак"/>
    <w:link w:val="719"/>
    <w:uiPriority w:val="99"/>
    <w:qFormat/>
    <w:rPr>
      <w:sz w:val="24"/>
      <w:szCs w:val="24"/>
    </w:rPr>
  </w:style>
  <w:style w:type="character" w:styleId="689" w:customStyle="1">
    <w:name w:val="Нижний колонтитул Знак"/>
    <w:link w:val="720"/>
    <w:qFormat/>
    <w:rPr>
      <w:sz w:val="24"/>
      <w:szCs w:val="24"/>
    </w:rPr>
  </w:style>
  <w:style w:type="character" w:styleId="690" w:customStyle="1">
    <w:name w:val="Unresolved Mention"/>
    <w:basedOn w:val="662"/>
    <w:uiPriority w:val="99"/>
    <w:semiHidden/>
    <w:unhideWhenUsed/>
    <w:qFormat/>
    <w:rPr>
      <w:color w:val="605e5c"/>
      <w:shd w:val="clear" w:color="auto" w:fill="e1dfdd"/>
    </w:rPr>
  </w:style>
  <w:style w:type="paragraph" w:styleId="691" w:customStyle="1">
    <w:name w:val="Заголовок"/>
    <w:basedOn w:val="652"/>
    <w:next w:val="69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92">
    <w:name w:val="Body Text"/>
    <w:basedOn w:val="652"/>
    <w:pPr>
      <w:spacing w:after="140" w:line="276" w:lineRule="auto"/>
    </w:pPr>
  </w:style>
  <w:style w:type="paragraph" w:styleId="693">
    <w:name w:val="List"/>
    <w:basedOn w:val="692"/>
    <w:rPr>
      <w:rFonts w:ascii="PT Astra Serif" w:hAnsi="PT Astra Serif" w:cs="Noto Sans Devanagari"/>
    </w:rPr>
  </w:style>
  <w:style w:type="paragraph" w:styleId="694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695">
    <w:name w:val="index heading"/>
    <w:basedOn w:val="691"/>
  </w:style>
  <w:style w:type="paragraph" w:styleId="696">
    <w:name w:val="List Paragraph"/>
    <w:basedOn w:val="652"/>
    <w:uiPriority w:val="34"/>
    <w:qFormat/>
    <w:pPr>
      <w:contextualSpacing/>
      <w:ind w:left="720"/>
    </w:pPr>
  </w:style>
  <w:style w:type="paragraph" w:styleId="697">
    <w:name w:val="No Spacing"/>
    <w:uiPriority w:val="1"/>
    <w:qFormat/>
  </w:style>
  <w:style w:type="paragraph" w:styleId="698">
    <w:name w:val="Title"/>
    <w:basedOn w:val="652"/>
    <w:next w:val="652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9">
    <w:name w:val="Subtitle"/>
    <w:basedOn w:val="652"/>
    <w:next w:val="652"/>
    <w:link w:val="675"/>
    <w:uiPriority w:val="11"/>
    <w:qFormat/>
    <w:pPr>
      <w:spacing w:before="200" w:after="200"/>
    </w:pPr>
  </w:style>
  <w:style w:type="paragraph" w:styleId="700">
    <w:name w:val="Quote"/>
    <w:basedOn w:val="652"/>
    <w:next w:val="652"/>
    <w:link w:val="676"/>
    <w:uiPriority w:val="29"/>
    <w:qFormat/>
    <w:pPr>
      <w:ind w:left="720" w:right="720"/>
    </w:pPr>
    <w:rPr>
      <w:i/>
    </w:rPr>
  </w:style>
  <w:style w:type="paragraph" w:styleId="701">
    <w:name w:val="Intense Quote"/>
    <w:basedOn w:val="652"/>
    <w:next w:val="652"/>
    <w:link w:val="677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2">
    <w:name w:val="footnote text"/>
    <w:basedOn w:val="652"/>
    <w:link w:val="682"/>
    <w:uiPriority w:val="99"/>
    <w:semiHidden/>
    <w:unhideWhenUsed/>
    <w:pPr>
      <w:spacing w:after="40"/>
    </w:pPr>
    <w:rPr>
      <w:sz w:val="18"/>
    </w:rPr>
  </w:style>
  <w:style w:type="paragraph" w:styleId="703">
    <w:name w:val="endnote text"/>
    <w:basedOn w:val="652"/>
    <w:link w:val="685"/>
    <w:uiPriority w:val="99"/>
    <w:semiHidden/>
    <w:unhideWhenUsed/>
    <w:rPr>
      <w:sz w:val="20"/>
    </w:rPr>
  </w:style>
  <w:style w:type="paragraph" w:styleId="704">
    <w:name w:val="toc 1"/>
    <w:basedOn w:val="652"/>
    <w:next w:val="652"/>
    <w:uiPriority w:val="39"/>
    <w:unhideWhenUsed/>
    <w:pPr>
      <w:spacing w:after="57"/>
    </w:pPr>
  </w:style>
  <w:style w:type="paragraph" w:styleId="705">
    <w:name w:val="toc 2"/>
    <w:basedOn w:val="652"/>
    <w:next w:val="652"/>
    <w:uiPriority w:val="39"/>
    <w:unhideWhenUsed/>
    <w:pPr>
      <w:ind w:left="283"/>
      <w:spacing w:after="57"/>
    </w:pPr>
  </w:style>
  <w:style w:type="paragraph" w:styleId="706">
    <w:name w:val="toc 3"/>
    <w:basedOn w:val="652"/>
    <w:next w:val="652"/>
    <w:uiPriority w:val="39"/>
    <w:unhideWhenUsed/>
    <w:pPr>
      <w:ind w:left="567"/>
      <w:spacing w:after="57"/>
    </w:pPr>
  </w:style>
  <w:style w:type="paragraph" w:styleId="707">
    <w:name w:val="toc 4"/>
    <w:basedOn w:val="652"/>
    <w:next w:val="652"/>
    <w:uiPriority w:val="39"/>
    <w:unhideWhenUsed/>
    <w:pPr>
      <w:ind w:left="850"/>
      <w:spacing w:after="57"/>
    </w:pPr>
  </w:style>
  <w:style w:type="paragraph" w:styleId="708">
    <w:name w:val="toc 5"/>
    <w:basedOn w:val="652"/>
    <w:next w:val="652"/>
    <w:uiPriority w:val="39"/>
    <w:unhideWhenUsed/>
    <w:pPr>
      <w:ind w:left="1134"/>
      <w:spacing w:after="57"/>
    </w:pPr>
  </w:style>
  <w:style w:type="paragraph" w:styleId="709">
    <w:name w:val="toc 6"/>
    <w:basedOn w:val="652"/>
    <w:next w:val="652"/>
    <w:uiPriority w:val="39"/>
    <w:unhideWhenUsed/>
    <w:pPr>
      <w:ind w:left="1417"/>
      <w:spacing w:after="57"/>
    </w:pPr>
  </w:style>
  <w:style w:type="paragraph" w:styleId="710">
    <w:name w:val="toc 7"/>
    <w:basedOn w:val="652"/>
    <w:next w:val="652"/>
    <w:uiPriority w:val="39"/>
    <w:unhideWhenUsed/>
    <w:pPr>
      <w:ind w:left="1701"/>
      <w:spacing w:after="57"/>
    </w:pPr>
  </w:style>
  <w:style w:type="paragraph" w:styleId="711">
    <w:name w:val="toc 8"/>
    <w:basedOn w:val="652"/>
    <w:next w:val="652"/>
    <w:uiPriority w:val="39"/>
    <w:unhideWhenUsed/>
    <w:pPr>
      <w:ind w:left="1984"/>
      <w:spacing w:after="57"/>
    </w:pPr>
  </w:style>
  <w:style w:type="paragraph" w:styleId="712">
    <w:name w:val="toc 9"/>
    <w:basedOn w:val="652"/>
    <w:next w:val="652"/>
    <w:uiPriority w:val="39"/>
    <w:unhideWhenUsed/>
    <w:pPr>
      <w:ind w:left="2268"/>
      <w:spacing w:after="57"/>
    </w:pPr>
  </w:style>
  <w:style w:type="paragraph" w:styleId="713">
    <w:name w:val="TOC Heading"/>
    <w:uiPriority w:val="39"/>
    <w:unhideWhenUsed/>
  </w:style>
  <w:style w:type="paragraph" w:styleId="714">
    <w:name w:val="table of figures"/>
    <w:basedOn w:val="652"/>
    <w:next w:val="652"/>
    <w:uiPriority w:val="99"/>
    <w:unhideWhenUsed/>
    <w:qFormat/>
  </w:style>
  <w:style w:type="paragraph" w:styleId="715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716">
    <w:name w:val="Balloon Text"/>
    <w:basedOn w:val="652"/>
    <w:semiHidden/>
    <w:qFormat/>
    <w:rPr>
      <w:rFonts w:ascii="Tahoma" w:hAnsi="Tahoma" w:cs="Tahoma"/>
      <w:sz w:val="16"/>
      <w:szCs w:val="16"/>
    </w:rPr>
  </w:style>
  <w:style w:type="paragraph" w:styleId="717" w:customStyle="1">
    <w:name w:val="Знак"/>
    <w:basedOn w:val="652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718" w:customStyle="1">
    <w:name w:val="Колонтитул"/>
    <w:basedOn w:val="652"/>
    <w:qFormat/>
  </w:style>
  <w:style w:type="paragraph" w:styleId="719">
    <w:name w:val="Header"/>
    <w:basedOn w:val="652"/>
    <w:link w:val="688"/>
    <w:uiPriority w:val="99"/>
    <w:pPr>
      <w:tabs>
        <w:tab w:val="center" w:pos="4677" w:leader="none"/>
        <w:tab w:val="right" w:pos="9355" w:leader="none"/>
      </w:tabs>
    </w:pPr>
  </w:style>
  <w:style w:type="paragraph" w:styleId="720">
    <w:name w:val="Footer"/>
    <w:basedOn w:val="652"/>
    <w:link w:val="689"/>
    <w:pPr>
      <w:tabs>
        <w:tab w:val="center" w:pos="4677" w:leader="none"/>
        <w:tab w:val="right" w:pos="9355" w:leader="none"/>
      </w:tabs>
    </w:pPr>
  </w:style>
  <w:style w:type="paragraph" w:styleId="721" w:customStyle="1">
    <w:name w:val="ConsPlusTitle"/>
    <w:qFormat/>
    <w:pPr>
      <w:widowControl w:val="off"/>
    </w:pPr>
    <w:rPr>
      <w:rFonts w:eastAsia="Calibri"/>
      <w:b/>
      <w:bCs/>
      <w:sz w:val="28"/>
      <w:szCs w:val="28"/>
    </w:rPr>
  </w:style>
  <w:style w:type="paragraph" w:styleId="722" w:customStyle="1">
    <w:name w:val="ConsPlusNormal"/>
    <w:qFormat/>
    <w:pPr>
      <w:widowControl w:val="off"/>
    </w:pPr>
    <w:rPr>
      <w:rFonts w:ascii="Calibri" w:hAnsi="Calibri" w:cs="Calibri"/>
      <w:sz w:val="22"/>
    </w:rPr>
  </w:style>
  <w:style w:type="paragraph" w:styleId="723" w:customStyle="1">
    <w:name w:val="Содержимое таблицы"/>
    <w:basedOn w:val="652"/>
    <w:qFormat/>
    <w:pPr>
      <w:widowControl w:val="off"/>
      <w:suppressLineNumbers/>
    </w:pPr>
  </w:style>
  <w:style w:type="paragraph" w:styleId="724" w:customStyle="1">
    <w:name w:val="Заголовок таблицы"/>
    <w:basedOn w:val="723"/>
    <w:qFormat/>
    <w:pPr>
      <w:jc w:val="center"/>
    </w:pPr>
    <w:rPr>
      <w:b/>
      <w:bCs/>
    </w:rPr>
  </w:style>
  <w:style w:type="table" w:styleId="725" w:customStyle="1">
    <w:name w:val="Table Grid Light"/>
    <w:basedOn w:val="66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 w:customStyle="1">
    <w:name w:val="Заголовок 1 Знак1"/>
    <w:basedOn w:val="663"/>
    <w:link w:val="65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7" w:customStyle="1">
    <w:name w:val="Таблица простая 21"/>
    <w:basedOn w:val="66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8" w:customStyle="1">
    <w:name w:val="Заголовок 3 Знак1"/>
    <w:basedOn w:val="663"/>
    <w:link w:val="655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 w:customStyle="1">
    <w:name w:val="Заголовок 4 Знак1"/>
    <w:basedOn w:val="663"/>
    <w:link w:val="656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Заголовок 5 Знак1"/>
    <w:basedOn w:val="663"/>
    <w:link w:val="65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 w:customStyle="1">
    <w:name w:val="Таблица-сетка 1 светлая1"/>
    <w:basedOn w:val="66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6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6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6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6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6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6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Таблица-сетка 21"/>
    <w:basedOn w:val="66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6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6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6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6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6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6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Таблица-сетка 31"/>
    <w:basedOn w:val="66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6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6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6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6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6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6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Таблица-сетка 41"/>
    <w:basedOn w:val="66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6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754" w:customStyle="1">
    <w:name w:val="Grid Table 4 - Accent 2"/>
    <w:basedOn w:val="66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755" w:customStyle="1">
    <w:name w:val="Grid Table 4 - Accent 3"/>
    <w:basedOn w:val="66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756" w:customStyle="1">
    <w:name w:val="Grid Table 4 - Accent 4"/>
    <w:basedOn w:val="66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757" w:customStyle="1">
    <w:name w:val="Grid Table 4 - Accent 5"/>
    <w:basedOn w:val="66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8" w:customStyle="1">
    <w:name w:val="Grid Table 4 - Accent 6"/>
    <w:basedOn w:val="66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9" w:customStyle="1">
    <w:name w:val="Таблица-сетка 5 темная1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66" w:customStyle="1">
    <w:name w:val="Таблица-сетка 6 цветная1"/>
    <w:basedOn w:val="66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6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8" w:customStyle="1">
    <w:name w:val="Grid Table 6 Colorful - Accent 2"/>
    <w:basedOn w:val="66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9" w:customStyle="1">
    <w:name w:val="Grid Table 6 Colorful - Accent 3"/>
    <w:basedOn w:val="66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0" w:customStyle="1">
    <w:name w:val="Grid Table 6 Colorful - Accent 4"/>
    <w:basedOn w:val="66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1" w:customStyle="1">
    <w:name w:val="Grid Table 6 Colorful - Accent 5"/>
    <w:basedOn w:val="66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 w:customStyle="1">
    <w:name w:val="Grid Table 6 Colorful - Accent 6"/>
    <w:basedOn w:val="66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Таблица-сетка 7 цветная1"/>
    <w:basedOn w:val="66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Grid Table 7 Colorful - Accent 1"/>
    <w:basedOn w:val="66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Grid Table 7 Colorful - Accent 2"/>
    <w:basedOn w:val="66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Grid Table 7 Colorful - Accent 3"/>
    <w:basedOn w:val="66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Grid Table 7 Colorful - Accent 4"/>
    <w:basedOn w:val="66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8" w:customStyle="1">
    <w:name w:val="Grid Table 7 Colorful - Accent 5"/>
    <w:basedOn w:val="66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9" w:customStyle="1">
    <w:name w:val="Grid Table 7 Colorful - Accent 6"/>
    <w:basedOn w:val="66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0" w:customStyle="1">
    <w:name w:val="Список-таблица 1 светлая1"/>
    <w:basedOn w:val="663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63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63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63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63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63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63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Список-таблица 21"/>
    <w:basedOn w:val="66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6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6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6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6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6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6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794" w:customStyle="1">
    <w:name w:val="Список-таблица 31"/>
    <w:basedOn w:val="66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6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6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6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6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6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6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Список-таблица 41"/>
    <w:basedOn w:val="66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6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6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6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6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6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6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Список-таблица 5 темная1"/>
    <w:basedOn w:val="66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6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6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6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6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6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6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15" w:customStyle="1">
    <w:name w:val="Список-таблица 6 цветная1"/>
    <w:basedOn w:val="66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6" w:customStyle="1">
    <w:name w:val="List Table 6 Colorful - Accent 1"/>
    <w:basedOn w:val="66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7" w:customStyle="1">
    <w:name w:val="List Table 6 Colorful - Accent 2"/>
    <w:basedOn w:val="66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18" w:customStyle="1">
    <w:name w:val="List Table 6 Colorful - Accent 3"/>
    <w:basedOn w:val="66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19" w:customStyle="1">
    <w:name w:val="List Table 6 Colorful - Accent 4"/>
    <w:basedOn w:val="66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20" w:customStyle="1">
    <w:name w:val="List Table 6 Colorful - Accent 5"/>
    <w:basedOn w:val="66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21" w:customStyle="1">
    <w:name w:val="List Table 6 Colorful - Accent 6"/>
    <w:basedOn w:val="66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22" w:customStyle="1">
    <w:name w:val="Список-таблица 7 цветная1"/>
    <w:basedOn w:val="66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000000" w:themeColor="text1" w:sz="4" w:space="0"/>
          <w:right w:val="none" w:color="auto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000000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3" w:customStyle="1">
    <w:name w:val="List Table 7 Colorful - Accent 1"/>
    <w:basedOn w:val="66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List Table 7 Colorful - Accent 2"/>
    <w:basedOn w:val="66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ED7D31" w:themeColor="accent2" w:sz="4" w:space="0"/>
          <w:right w:val="none" w:color="auto" w:sz="0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ED7D31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List Table 7 Colorful - Accent 3"/>
    <w:basedOn w:val="66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List Table 7 Colorful - Accent 4"/>
    <w:basedOn w:val="66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C000" w:themeColor="accent4" w:sz="4" w:space="0"/>
          <w:right w:val="none" w:color="auto" w:sz="0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C000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List Table 7 Colorful - Accent 5"/>
    <w:basedOn w:val="66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4472C4" w:themeColor="accent5" w:sz="4" w:space="0"/>
          <w:right w:val="none" w:color="auto" w:sz="0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4472C4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List Table 7 Colorful - Accent 6"/>
    <w:basedOn w:val="66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0AD47" w:themeColor="accent6" w:sz="4" w:space="0"/>
          <w:right w:val="none" w:color="auto" w:sz="0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70AD47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Lined - Accent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0" w:customStyle="1">
    <w:name w:val="Lined - Accent 1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1" w:customStyle="1">
    <w:name w:val="Lined - Accent 2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2" w:customStyle="1">
    <w:name w:val="Lined - Accent 3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3" w:customStyle="1">
    <w:name w:val="Lined - Accent 4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34" w:customStyle="1">
    <w:name w:val="Lined - Accent 5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5" w:customStyle="1">
    <w:name w:val="Lined - Accent 6"/>
    <w:basedOn w:val="663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6" w:customStyle="1">
    <w:name w:val="Bordered &amp; Lined - Accent"/>
    <w:basedOn w:val="66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7" w:customStyle="1">
    <w:name w:val="Bordered &amp; Lined - Accent 1"/>
    <w:basedOn w:val="663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838" w:customStyle="1">
    <w:name w:val="Bordered &amp; Lined - Accent 2"/>
    <w:basedOn w:val="663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839" w:customStyle="1">
    <w:name w:val="Bordered &amp; Lined - Accent 3"/>
    <w:basedOn w:val="66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0" w:customStyle="1">
    <w:name w:val="Bordered &amp; Lined - Accent 4"/>
    <w:basedOn w:val="663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841" w:customStyle="1">
    <w:name w:val="Bordered &amp; Lined - Accent 5"/>
    <w:basedOn w:val="663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2" w:customStyle="1">
    <w:name w:val="Bordered &amp; Lined - Accent 6"/>
    <w:basedOn w:val="663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3" w:customStyle="1">
    <w:name w:val="Bordered"/>
    <w:basedOn w:val="66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4" w:customStyle="1">
    <w:name w:val="Bordered - Accent 1"/>
    <w:basedOn w:val="66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5" w:customStyle="1">
    <w:name w:val="Bordered - Accent 2"/>
    <w:basedOn w:val="66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46" w:customStyle="1">
    <w:name w:val="Bordered - Accent 3"/>
    <w:basedOn w:val="66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47" w:customStyle="1">
    <w:name w:val="Bordered - Accent 4"/>
    <w:basedOn w:val="66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48" w:customStyle="1">
    <w:name w:val="Bordered - Accent 5"/>
    <w:basedOn w:val="66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49" w:customStyle="1">
    <w:name w:val="Bordered - Accent 6"/>
    <w:basedOn w:val="66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  <w:style w:type="table" w:styleId="850">
    <w:name w:val="Table Grid"/>
    <w:basedOn w:val="66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1" w:customStyle="1">
    <w:name w:val="Сетка таблицы1"/>
    <w:basedOn w:val="663"/>
    <w:uiPriority w:val="59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2" w:customStyle="1">
    <w:name w:val="Сетка таблицы2"/>
    <w:basedOn w:val="66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3" w:customStyle="1">
    <w:name w:val="Сетка таблицы11"/>
    <w:basedOn w:val="663"/>
    <w:uiPriority w:val="59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hyperlink" Target="http://minecpro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B1661AA-461E-46AB-8B59-E3AB75BE3B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1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kozlova_ev</dc:creator>
  <dc:description/>
  <dc:language>ru-RU</dc:language>
  <cp:revision>22</cp:revision>
  <dcterms:created xsi:type="dcterms:W3CDTF">2023-04-19T07:31:00Z</dcterms:created>
  <dcterms:modified xsi:type="dcterms:W3CDTF">2023-08-30T12:49:26Z</dcterms:modified>
</cp:coreProperties>
</file>