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ind w:left="0" w:right="0" w:firstLine="0"/>
        <w:jc w:val="center"/>
        <w:keepLines w:val="0"/>
        <w:keepNext w:val="0"/>
        <w:spacing w:before="0" w:after="0"/>
        <w:shd w:val="clear" w:color="auto" w:fill="auto"/>
        <w:widowControl w:val="off"/>
        <w:rPr>
          <w:b/>
          <w:bCs/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0"/>
        <w:shd w:val="clear" w:color="auto" w:fill="auto"/>
        <w:widowControl w:val="off"/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Финансово-экономическое обоснование</w:t>
      </w:r>
      <w:r>
        <w:rPr>
          <w:b/>
          <w:bCs/>
          <w:sz w:val="28"/>
          <w:szCs w:val="28"/>
        </w:rPr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500"/>
        <w:shd w:val="clear" w:color="auto" w:fill="auto"/>
        <w:widowControl w:val="off"/>
        <w:rPr>
          <w:b/>
          <w:bCs/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к проекту постановления Правительства Белгородской области                        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«О размерах сборов,не относящих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ся к госуда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рственной пошл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ине, взимаемых на территории Белгородской области Государственной инспекцией  по надзору затехническим состоянием самоходных машин               и других видов техники Белгородской области  с соответствующими государственными инспекциями городов и районов»</w:t>
      </w:r>
      <w:r>
        <w:rPr>
          <w:b/>
          <w:bCs/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0"/>
        <w:shd w:val="clear" w:color="auto" w:fill="auto"/>
        <w:widowControl w:val="off"/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1. Проведение технического осмотра самоходных машин и других</w:t>
        <w:br/>
        <w:t xml:space="preserve">видов техники</w:t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0"/>
        <w:shd w:val="clear" w:color="auto" w:fill="auto"/>
        <w:widowControl w:val="off"/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Предоставление государственной услуги по техническому осмотру самоходных машин и других видов тех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ники регулируется административным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регламентом предоставления государственной услуги «Проведение технических осмотров самоходных машин и других видов техники», утвержденным приказом инспекции гостехнадзора Белгородской области от 23.11.2022 г. № 197                  (далее - Регламент ТО).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Регламентом ТО определены следующие максимальные сроки выполнения процедур (действий):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приема заявлений и документов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- 5 минут;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69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проверки документов при подачи заявления в т.ч. межведомственное взаимодействие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- 10 минут;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69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проверки технического состояния самоходной машины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– 30 минут (среднее время на 1 ед.техники);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69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оформления одного документа о прохождении технического осмотра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док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- 5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За период с 01.01.2023 г. по 31.12.2023 г. предоставлено услуг по техническому осмотру в отношении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24104 (к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 самоходных машин и других видов техники. Учитывая размеры муниципальных районов и городов Белгородской области среднее время перемещения к месту проведения технического осмотра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nepeм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составило 30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 этом случае среднее время предоставления одной услуги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- время на ТО)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по проведению технического осмотра самоходной машины рассчитывается по формуле: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док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nepeм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*k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 / k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(время на ТО)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 составляет: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sz w:val="28"/>
          <w:szCs w:val="28"/>
          <w:highlight w:val="none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((5+10+30+5+30)х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24104)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/ 24104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80 минут - (1,3 часа)</w:t>
      </w:r>
      <w:r>
        <w:rPr>
          <w:rStyle w:val="928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footnoteReference w:id="2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Таким образом, среднее время, потраченное инженером-инспектором для предоставления государственной услуги по прохождению технического осмотра самоходных машин и других видов техники составляет 1,3 часа.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Исходя из расчета среднего месячного денежного содержания инженера- инспектора, осуществляющего технический осмотр самоходных машин и других видов составляет 40834 рубля (З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Среднее количество рабочих часов в месяц составляет 165 часов (Ч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Таким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6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 /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 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40834/165=247 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Следовательно сумма временных и материальных затрат инспекции на оказание услуги по осмотру 1 единицы самоходной машины и других видов техники составит: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0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</w:t>
      </w:r>
      <w:r>
        <w:rPr>
          <w:b/>
          <w:bCs/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руб/час.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*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= S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затрат.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247 х 1,3 = 321,1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Ввиду того, что всё регламентируемое время указанно в максимальных значениях, то сумма 321,1 рубля подлежит округлению и будет составлять 300 (триста) рублей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tabs>
          <w:tab w:val="left" w:pos="734" w:leader="none"/>
        </w:tabs>
        <w:rPr>
          <w:sz w:val="28"/>
          <w:szCs w:val="28"/>
          <w:highlight w:val="none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2. Проведение технического осмотра прицепа к самоходной машине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Предоставление государственной услуги по техническому осмотру самоходных машин и других видов тех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ники регулируется административным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регламентом предоставления государственной услуги «Проведение технических осмотров самоходных машин и других видов техники», утвержденным приказом инспекции гостехнадзора Белгородской области от 23.11.2022 г. № 197                  (далее - Регламент ТО).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Регламентом ТО определены следующие максимальные сроки выполнения процедур (действий):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приема заявлений и документов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- 5 минут;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69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проверки документов при подачи заявления в т.ч. межведомственное взаимодействие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- 10 минут;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69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проверки технического состояния самоходной машины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– 30 минут (среднее время  на 1 ед. прицепа к самоходной технике);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69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оформления одного документа о прохождении технического осмотра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док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 - 5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За период с 01.01.2023 г. по 31.12.2023 г. предоставлено услуг по техническом осмотру в отношении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5425 (к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 прицепов к самоходным машинам. Учитывая размеры муниципальных районов и городов Белгородской области среднее время перемещения к месту проведения ТО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nepeм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составило 30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 этом случае среднее время предоставления одной услуги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-время на ТО)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по проведению технического осмотра прицепа к самоходной машине рассчитывается по формуле: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док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nepeм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*k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 / k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(время на ТО)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 составляет: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sz w:val="28"/>
          <w:szCs w:val="28"/>
          <w:highlight w:val="none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((5+10+30+5+30)х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5425)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/ 5425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80 минут - (1,3 часа)</w:t>
      </w:r>
      <w:r>
        <w:rPr>
          <w:rStyle w:val="928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footnoteReference w:id="3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Таким образом, среднее время, потраченное инженером-инспектором для предоставления государственной услуги по прохождению технического осмотра прицепа к самоходной машине составляет 1,3 часа.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Исходя из расчета среднего месячного денежного содержания инженера- инспектора, осуществляющего технический осмотр самоходных машин и других видов составляет 40834 рубля (З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Среднее количество рабочих часов в месяц составляет 165 часов (Ч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Таким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6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/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40834/165=247 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Следовательно сумма временных и материальных затрат инспекции на оказание услуги по осмотру 1 единицы прицепа к самоходной машине  составит: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0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</w:t>
      </w:r>
      <w:r>
        <w:rPr>
          <w:b/>
          <w:bCs/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руб/час.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*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= S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затрат.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247 х 1,3 = 321,1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Ввиду того, что всё регламентируемое время указанно в максимальных значениях, то сумма 321,1 рубля подлежит округлению и будет составлять 300 (триста) рублей.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20"/>
        <w:shd w:val="clear" w:color="auto" w:fill="auto"/>
        <w:widowControl w:val="off"/>
        <w:tabs>
          <w:tab w:val="left" w:pos="734" w:leader="none"/>
        </w:tabs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3. Прием экзаменов на право управления самоходными</w:t>
        <w:br/>
        <w:t xml:space="preserve">машинами и выдача удостоверений тракториста-машиниста</w:t>
        <w:br/>
        <w:t xml:space="preserve">(тракториста).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71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Предоставление государственной услуги по приему экзаменов на право управления самоходными машинами и выдача удостоверений тракториста-машиниста (тракториста) регулируется административным регламентом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предоставления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государственной услуги «Прием экзаменов на право управления самоходными машинами и выдача удостоверений тракториста-машиниста (тракториста)», утвержденным приказом инспекции гостехнадзора Белгородской области от 23.11.2022 г. № 199 (далее – Регламент УТМ).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1020"/>
        <w:jc w:val="both"/>
        <w:keepLines w:val="0"/>
        <w:keepNext w:val="0"/>
        <w:spacing w:before="0" w:after="320" w:line="271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Регламентом УТМ определены следующие максимальные сроки выполнения процедур (действий):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1020" w:right="0" w:firstLine="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приема заявлений и документов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- 10 минут;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40" w:line="240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рассмотрения заявления, направления межведомственных запросов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- 30 минут;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4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оформления удостоверения тракториста-машиниста (тракториста) или мотивированного отказа 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док.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- 20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both"/>
        <w:keepLines w:val="0"/>
        <w:keepNext w:val="0"/>
        <w:spacing w:before="0" w:after="160" w:line="269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        Теоретические экзамены принимаются с помощью аппаратно-программных комплексов по экзаменационным билетам, утвержденным Министерством сельского хозяйства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30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Один экзаменационный билет содержит  8  вопросов. На каждый вопрос экзаменуемый должен дать ответ в течение 1 минуты. Тем самым, время, отведенное на сдачу теоретического экзамена, составляет не более 8 минут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теор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Среднее время выполнения упражнений практической части экзамена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(вождение)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составляет 15 минут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npaк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по 1 категории на одного экзаменуемого.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За период с 01.01.2023 г. по 31.12.2023 г. инспекцией приняты экзамены у 1952 заявителей (к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3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4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 этом случае среднее время предоставления одной услуги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утм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по приему экзаменов на право управления самоходными машина и выдаче удостоверения тракториста-машиниста (тракториста)  рассчитывается по формуле: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40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14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en-US" w:eastAsia="en-US" w:bidi="en-US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док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baseline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теор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baseline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 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npaк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baseline"/>
          <w:lang w:val="ru-RU" w:eastAsia="ru-RU" w:bidi="ru-RU"/>
        </w:rPr>
        <w:t xml:space="preserve">)*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3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baseline"/>
          <w:lang w:val="ru-RU" w:eastAsia="ru-RU" w:bidi="ru-RU"/>
        </w:rPr>
        <w:t xml:space="preserve">)/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к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3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 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утм</w:t>
      </w:r>
      <w:r>
        <w:rPr>
          <w:color w:val="000000"/>
          <w:spacing w:val="0"/>
          <w:position w:val="0"/>
          <w:sz w:val="28"/>
          <w:szCs w:val="28"/>
          <w:lang w:val="en-US" w:eastAsia="en-US" w:bidi="en-US"/>
        </w:rPr>
      </w:r>
      <w:r>
        <w:rPr>
          <w:color w:val="000000"/>
          <w:spacing w:val="0"/>
          <w:position w:val="0"/>
          <w:sz w:val="28"/>
          <w:szCs w:val="28"/>
          <w:lang w:val="en-US" w:eastAsia="en-US" w:bidi="en-US"/>
        </w:rPr>
      </w:r>
    </w:p>
    <w:p>
      <w:pPr>
        <w:pStyle w:val="949"/>
        <w:ind w:left="0" w:right="0" w:firstLine="214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14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 составляет: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9"/>
        <w:ind w:left="0" w:right="0" w:firstLine="2140"/>
        <w:jc w:val="both"/>
        <w:keepLines w:val="0"/>
        <w:keepNext w:val="0"/>
        <w:spacing w:before="0" w:after="0" w:line="29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sz w:val="28"/>
          <w:szCs w:val="28"/>
          <w:highlight w:val="none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2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((10+30+20+8+15) х 1952) / 1952 = 83 минуты (1,3 часа.)</w:t>
      </w:r>
      <w:r>
        <w:rPr>
          <w:rStyle w:val="928"/>
          <w:sz w:val="28"/>
          <w:szCs w:val="28"/>
        </w:rPr>
        <w:footnoteReference w:id="4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Исходя из расчета среднего месячного денежного содержания инженера- инспектора, осуществляющего прием экзаменов на право управления самоходными машинами и выдачу удостоверений тракториста-машиниста составляет 40834 рубля (З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Среднее количество рабочих часов в месяц составляет 165 часов (Ч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Таким образом: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6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/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40834/165=247 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940"/>
        <w:jc w:val="both"/>
        <w:keepLines w:val="0"/>
        <w:keepNext w:val="0"/>
        <w:spacing w:before="0" w:after="4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940"/>
        <w:jc w:val="both"/>
        <w:keepLines w:val="0"/>
        <w:keepNext w:val="0"/>
        <w:spacing w:before="0" w:after="40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Следовательно сумма временных и материальных затрат инспекции на оказание услуги по приему экзаменов на право управления самоходными машина и выдаче удостоверения тракториста-машиниста (тракториста) составит: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0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0"/>
          <w:szCs w:val="20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00" w:line="240" w:lineRule="auto"/>
        <w:shd w:val="clear" w:color="auto" w:fill="auto"/>
        <w:widowControl w:val="off"/>
        <w:rPr>
          <w:color w:val="000000"/>
          <w:spacing w:val="0"/>
          <w:position w:val="0"/>
          <w:sz w:val="20"/>
          <w:szCs w:val="20"/>
          <w:highlight w:val="none"/>
          <w:lang w:val="ru-RU" w:eastAsia="ru-RU" w:bidi="ru-RU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</w:t>
      </w:r>
      <w:r>
        <w:rPr>
          <w:b/>
          <w:bCs/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руб/час.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*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= S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затрат.</w:t>
      </w:r>
      <w:r>
        <w:rPr>
          <w:color w:val="000000"/>
          <w:spacing w:val="0"/>
          <w:position w:val="0"/>
          <w:sz w:val="20"/>
          <w:szCs w:val="20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0"/>
          <w:szCs w:val="20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247 х 1,3 = 321,1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Ввиду того, что всё регламентируемое время указанно в максимальных значениях, то сумма 321,1 рубля подлежит округлению и будет составлять 300 (триста)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20"/>
        <w:shd w:val="clear" w:color="auto" w:fill="auto"/>
        <w:widowControl w:val="off"/>
        <w:tabs>
          <w:tab w:val="left" w:pos="734" w:leader="none"/>
        </w:tabs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4.Выдача справки владельцу машины о совершенных регистрационных действиях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71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Предоставление государственной услуги по выдаче справки владельцу машины о совершенных регистрационных действиях регламентируется административным регламентом предоставления государственной услуги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«Государственная регистрация самоходных машин и других видов техники», утвержденным приказом инспекции гостехнадзора Белгородской области от 23.11.2022 г. № 200 (далее – Регламент СМ).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1020"/>
        <w:jc w:val="both"/>
        <w:keepLines w:val="0"/>
        <w:keepNext w:val="0"/>
        <w:spacing w:before="0" w:after="320" w:line="271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Регламентом СМ определены следующие максимальные сроки выполнения административных процедур (действий):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1020" w:right="0" w:firstLine="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приема заявлений и документов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- 15 минут;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40" w:line="240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рассмотрения заявления, направления межведомственных запросов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- 30 минут;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4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оформления справки о совершенных регистрационных действиях 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выд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- 15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За период с 01.01.2023 г. по 31.12.2023 г.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Инспекцией выдано 230 справок владельцам самоходных машин о совершенных регистрационных действиях (к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спр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 этом случае среднее время предоставления одной услуги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спр.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время на выдачу справки)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по выдаче справки владельцу самоходной машины о совершенных регистрационных действиях рассчитывается по формуле: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vertAlign w:val="subscript"/>
          <w:lang w:val="en-US" w:eastAsia="en-US" w:bidi="en-US"/>
        </w:rPr>
        <w:t xml:space="preserve">MB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выд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*k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спр.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/ k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спр.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спр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(время на выдачу справки)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 составляет: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sz w:val="28"/>
          <w:szCs w:val="28"/>
          <w:highlight w:val="none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((15+30+15)х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230)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/ 230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 60 минут - (1 час)</w:t>
      </w:r>
      <w:r>
        <w:rPr>
          <w:rStyle w:val="928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footnoteReference w:id="5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Таким образом, среднее время, потраченное инженером-инспектором для предоставления государственной услуги по выдаче справки владельцу самоходной машины о совершенных регистрационных действиях составляет          1 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Исходя из расчета среднего месячного денежного содержания инженера- инспектора, осуществляющего предоставление услуги составляет 40834 рубля (З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Среднее количество рабочих часов в месяц составляет 165 часов (Ч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Таким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6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мс.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/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 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40834/165=247 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Следовательно сумма временных и материальных затрат инспекции на оказание услуги по осмотру 1 единицы самоходной машины и других видов техники составит: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0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</w:t>
      </w:r>
      <w:r>
        <w:rPr>
          <w:b/>
          <w:bCs/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руб/час.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*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= S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затрат.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247 х 1 = 247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Ввиду того, что всё регламентируемое время указанно в максимальных значениях, то сумма 247 рублей подлежит округлению и будет составлять 200 (двести) рублей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center"/>
        <w:keepLines w:val="0"/>
        <w:keepNext w:val="0"/>
        <w:spacing w:before="0" w:after="567" w:afterAutospacing="0" w:line="240" w:lineRule="auto"/>
        <w:shd w:val="clear" w:color="auto" w:fill="auto"/>
        <w:widowControl w:val="off"/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5. Выдача акта рекламации  при  </w:t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участии в комиссиях по рассмотрению  претензий вла</w:t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дельцев поднадзорных машин и оборудования по поводу ненадлежащего качества проданной или отремонтированной техники</w:t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71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Предоставление государственной услуги по 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 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участию в комиссиях по рассмотрению  претензий вла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дельцев поднадзорных машин и оборудования по поводу ненадлежащего качества проданной или отремонтированной техники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регламентируется административным регламентом предоставления государственной услуги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«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Участие в комиссиях по рассмотрению  претензий вла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дельцев поднадзорных машин и оборудования по поводу ненадлежащего качества проданной или отремонтированной техники</w:t>
      </w:r>
      <w:r>
        <w:rPr>
          <w:b w:val="0"/>
          <w:bCs w:val="0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»,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утвержденным приказом инспекции гостехнадзора Белгородской области от 23.11.2022 г. № 198                   (далее – Регламент Участие в комиссиях).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1020"/>
        <w:jc w:val="both"/>
        <w:keepLines w:val="0"/>
        <w:keepNext w:val="0"/>
        <w:spacing w:before="0" w:after="320" w:line="271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Регламентом Участие в комиссиях определены следующие максимальные сроки выполнения административных процедур (действий):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1020" w:right="0" w:firstLine="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приема заявлений и документов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- 5 минут;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1020" w:right="0" w:firstLine="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Комиссионное рассмотрение причин отказа машины (оборудования), определение виновной стороны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комис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.)</w:t>
      </w:r>
      <w:r>
        <w:rPr>
          <w:sz w:val="28"/>
          <w:szCs w:val="28"/>
          <w:highlight w:val="none"/>
        </w:rPr>
        <w:t xml:space="preserve">- 35 минут;</w:t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40" w:line="240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рассмотрения заявления, принятия решения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(t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пр.р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- 30 минут;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4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1040"/>
        <w:jc w:val="both"/>
        <w:keepLines w:val="0"/>
        <w:keepNext w:val="0"/>
        <w:spacing w:before="0" w:after="1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максимальное время оформления справки о совершенных регистрационных действиях (t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выд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- 5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За период с 01.01.2022 г. по 31.12.2023 г.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Инспекцией выдано 3 акта рекламации (к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рекл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 этом случае среднее время предоставления одной услуги 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рекл.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время на участие в комиссии и оформление акта рекламации)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рассчитывается по формуле: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line="257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np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пр.р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.+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комис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/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+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выд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 *k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рекл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.) / k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рекл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.=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рекл.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(время на участие в комиссии и оформление акта рекламации)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sz w:val="28"/>
          <w:szCs w:val="28"/>
          <w:highlight w:val="none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 составляет: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9"/>
        <w:ind w:left="0" w:right="0" w:firstLine="2020"/>
        <w:jc w:val="both"/>
        <w:keepLines w:val="0"/>
        <w:keepNext w:val="0"/>
        <w:spacing w:before="0" w:after="0" w:line="288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sz w:val="28"/>
          <w:szCs w:val="28"/>
          <w:highlight w:val="none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((5+30+35+5)х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3)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/3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=75 минут - (1,2 часа)</w:t>
      </w:r>
      <w:r>
        <w:rPr>
          <w:rStyle w:val="928"/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footnoteReference w:id="6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Таким образом, среднее время, потраченное инженером-инспектором для предоставления государственной услуги по участию в комиссии и оформлению акта рекламации составляет  1,2 часа.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Исходя из расчета среднего месячного денежного содержания инженера- инспектора, осуществляющего предоставление услуги составляет 40834 рубля (З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Среднее количество рабочих часов в месяц составляет 165 часов (Ч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). Таким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6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Змс. /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Ч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ru-RU" w:eastAsia="ru-RU" w:bidi="ru-RU"/>
        </w:rPr>
        <w:t xml:space="preserve">мес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 </w:t>
      </w: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6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40834/165=247 руб/час.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Следовательно сумма временных и материальных затрат инспекции на оказание услуги по участию в комиссии и оформлению акта рекламации на 1 единицу техники составит: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left="0" w:right="0" w:firstLine="0"/>
        <w:jc w:val="center"/>
        <w:keepLines w:val="0"/>
        <w:keepNext w:val="0"/>
        <w:spacing w:before="0" w:after="300" w:line="240" w:lineRule="auto"/>
        <w:shd w:val="clear" w:color="auto" w:fill="auto"/>
        <w:widowControl w:val="off"/>
        <w:rPr>
          <w:sz w:val="28"/>
          <w:szCs w:val="28"/>
        </w:rPr>
      </w:pPr>
      <w:r>
        <w:rPr>
          <w:b/>
          <w:bCs/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S</w:t>
      </w:r>
      <w:r>
        <w:rPr>
          <w:b/>
          <w:bCs/>
          <w:color w:val="000000"/>
          <w:spacing w:val="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руб/час.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*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t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 xml:space="preserve">то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= S </w:t>
      </w:r>
      <w:r>
        <w:rPr>
          <w:color w:val="000000"/>
          <w:spacing w:val="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затрат.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0"/>
        <w:jc w:val="center"/>
        <w:keepLines w:val="0"/>
        <w:keepNext w:val="0"/>
        <w:spacing w:before="0" w:after="300"/>
        <w:shd w:val="clear" w:color="auto" w:fill="auto"/>
        <w:widowControl w:val="off"/>
        <w:rPr>
          <w:sz w:val="28"/>
          <w:szCs w:val="28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247 х 1,2 = 296,4 рубля.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300" w:line="283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Ввиду того, что всё регламентируемое время указанно в максимальных значениях, то сумма 296,4 рубля подлежит округлению и будет составлять 250 (двести пятьдесят) рублей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.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afterAutospacing="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Таким образом, исходя из произведенных расчетов планируемые сборы составят: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0" w:afterAutospacing="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за проведение технического осмотра одной единицы самоходной машины составит - 300 рублей;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8"/>
        <w:ind w:left="0" w:right="0" w:firstLine="0"/>
        <w:jc w:val="both"/>
        <w:keepLines w:val="0"/>
        <w:keepNext w:val="0"/>
        <w:spacing w:before="0" w:after="0" w:afterAutospacing="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     -  за проведение технического осмотра одной единица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прицепа к самоходной машине составит 300 рублей;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948"/>
        <w:ind w:left="0" w:right="0" w:firstLine="0"/>
        <w:jc w:val="both"/>
        <w:keepLines w:val="0"/>
        <w:keepNext w:val="0"/>
        <w:spacing w:before="0" w:after="0" w:afterAutospacing="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     - прием экзамена на право управления самоходными машинами у одного заявителя составит 300 рублей;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both"/>
        <w:keepLines w:val="0"/>
        <w:keepNext w:val="0"/>
        <w:spacing w:before="0" w:after="0" w:afterAutospacing="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         - выдача справки владельцу машины о совершенных регистрационных действиях - 200 рублей;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0"/>
        <w:jc w:val="both"/>
        <w:keepLines w:val="0"/>
        <w:keepNext w:val="0"/>
        <w:spacing w:before="0" w:after="0" w:afterAutospacing="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         – выдача акта рекламации при участии в комиссии по рассмотрению претензии владельца поднадзорной машины и оборудования по поводу ненадлежащего качества проданной или отремонтируемой техники - 250 рублей.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100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tbl>
      <w:tblPr>
        <w:tblStyle w:val="799"/>
        <w:tblW w:w="0" w:type="auto"/>
        <w:tblInd w:w="-361" w:type="dxa"/>
        <w:tblLayout w:type="fixed"/>
        <w:tblLook w:val="04A0" w:firstRow="1" w:lastRow="0" w:firstColumn="1" w:lastColumn="0" w:noHBand="0" w:noVBand="1"/>
      </w:tblPr>
      <w:tblGrid>
        <w:gridCol w:w="5528"/>
        <w:gridCol w:w="4818"/>
      </w:tblGrid>
      <w:tr>
        <w:tblPrEx/>
        <w:trPr>
          <w:trHeight w:val="6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53"/>
              <w:ind w:left="0"/>
              <w:jc w:val="both"/>
              <w:rPr>
                <w:rFonts w:ascii="PT Astra Serif" w:hAnsi="PT Astra Serif" w:eastAsia="PT Astra Serif" w:cs="PT Astra Serif"/>
                <w:color w:val="000000"/>
                <w:sz w:val="26"/>
              </w:rPr>
              <w:outlineLvl w:val="2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ачальник управления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 начальник инспекции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гостехнадзора Белгородской области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 главный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государственный инженер-инспектор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области по надзору  за техническим состоянием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самоходных машин и других видов техники 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ind w:left="0" w:right="64" w:firstLine="0"/>
              <w:jc w:val="right"/>
              <w:spacing w:line="240" w:lineRule="auto"/>
            </w:pPr>
            <w:r>
              <w:rPr>
                <w:rStyle w:val="946"/>
                <w:rFonts w:ascii="Times New Roman" w:hAnsi="Times New Roman" w:eastAsia="Times New Roman" w:cs="Times New Roman"/>
                <w:b/>
                <w:color w:val="000000" w:themeColor="text1"/>
                <w:sz w:val="28"/>
                <w:highlight w:val="none"/>
                <w:lang w:val="ru-RU" w:eastAsia="ru-RU" w:bidi="ru-RU"/>
              </w:rPr>
            </w:r>
            <w:r/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946"/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val="ru-RU" w:eastAsia="ru-RU" w:bidi="ru-RU"/>
              </w:rPr>
            </w:pPr>
            <w:r>
              <w:rPr>
                <w:rStyle w:val="94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94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94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94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tabs>
                <w:tab w:val="left" w:pos="425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946"/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  <w:lang w:val="ru-RU" w:eastAsia="ru-RU" w:bidi="ru-RU"/>
              </w:rPr>
              <w:t xml:space="preserve">                </w:t>
            </w:r>
            <w:r>
              <w:rPr>
                <w:rStyle w:val="94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  <w:t xml:space="preserve">А.С. Мирончук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</w:tc>
      </w:tr>
    </w:tbl>
    <w:p>
      <w:pPr>
        <w:pStyle w:val="948"/>
        <w:ind w:left="0" w:right="0" w:firstLine="720"/>
        <w:jc w:val="both"/>
        <w:keepLines w:val="0"/>
        <w:keepNext w:val="0"/>
        <w:spacing w:before="0" w:after="100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948"/>
        <w:ind w:left="0" w:right="0" w:firstLine="720"/>
        <w:jc w:val="both"/>
        <w:keepLines w:val="0"/>
        <w:keepNext w:val="0"/>
        <w:spacing w:before="0" w:after="1000" w:line="262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sectPr>
      <w:headerReference w:type="default" r:id="rId9"/>
      <w:headerReference w:type="first" r:id="rId10"/>
      <w:footnotePr>
        <w:numFmt w:val="decimal"/>
        <w:numRestart w:val="continuous"/>
        <w:pos w:val="pageBottom"/>
      </w:footnotePr>
      <w:endnotePr/>
      <w:type w:val="nextPage"/>
      <w:pgSz w:w="11900" w:h="16840" w:orient="portrait"/>
      <w:pgMar w:top="1265" w:right="963" w:bottom="1363" w:left="1208" w:header="0" w:footer="3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Arial Unicode MS">
    <w:panose1 w:val="020B0506020203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  <w:footnote w:id="2">
    <w:p>
      <w:pPr>
        <w:pStyle w:val="948"/>
        <w:ind w:left="0" w:right="0" w:firstLine="720"/>
        <w:jc w:val="both"/>
        <w:keepLines w:val="0"/>
        <w:keepNext w:val="0"/>
        <w:spacing w:before="0" w:after="340"/>
        <w:shd w:val="clear" w:color="auto" w:fill="auto"/>
        <w:widowControl w:val="off"/>
        <w:rPr>
          <w:sz w:val="28"/>
          <w:szCs w:val="28"/>
        </w:rPr>
      </w:pPr>
      <w:r>
        <w:rPr>
          <w:rStyle w:val="928"/>
        </w:rPr>
        <w:footnoteRef/>
      </w:r>
      <w:r>
        <w:t xml:space="preserve"> </w:t>
      </w:r>
      <w:r>
        <w:rPr>
          <w:color w:val="000000"/>
          <w:spacing w:val="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Данные расчеты основаны на результатах работы инспекции в 2023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</w:pPr>
      <w:r/>
      <w:r/>
    </w:p>
  </w:footnote>
  <w:footnote w:id="3">
    <w:p>
      <w:pPr>
        <w:pStyle w:val="948"/>
        <w:ind w:left="0" w:right="0" w:firstLine="720"/>
        <w:jc w:val="both"/>
        <w:keepLines w:val="0"/>
        <w:keepNext w:val="0"/>
        <w:spacing w:before="0" w:after="340"/>
        <w:shd w:val="clear" w:color="auto" w:fill="auto"/>
        <w:widowControl w:val="off"/>
        <w:rPr>
          <w:sz w:val="28"/>
          <w:szCs w:val="28"/>
        </w:rPr>
      </w:pPr>
      <w:r>
        <w:rPr>
          <w:rStyle w:val="928"/>
        </w:rPr>
        <w:footnoteRef/>
      </w:r>
      <w:r>
        <w:t xml:space="preserve"> </w:t>
      </w:r>
      <w:r>
        <w:rPr>
          <w:color w:val="000000"/>
          <w:spacing w:val="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Данные расчеты основаны на результатах работы инспекции в 2023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</w:pPr>
      <w:r/>
      <w:r/>
    </w:p>
  </w:footnote>
  <w:footnote w:id="4">
    <w:p>
      <w:pPr>
        <w:pStyle w:val="926"/>
        <w:rPr>
          <w:rFonts w:ascii="Times New Roman" w:hAnsi="Times New Roman" w:cs="Times New Roman"/>
        </w:rPr>
      </w:pPr>
      <w:r>
        <w:rPr>
          <w:rStyle w:val="92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Данные расчеты основаны на результатах работы инспекции в 2023 году.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48"/>
        <w:ind w:left="0" w:right="0" w:firstLine="720"/>
        <w:jc w:val="both"/>
        <w:keepLines w:val="0"/>
        <w:keepNext w:val="0"/>
        <w:spacing w:before="0" w:after="340"/>
        <w:shd w:val="clear" w:color="auto" w:fill="auto"/>
        <w:widowControl w:val="off"/>
        <w:rPr>
          <w:sz w:val="28"/>
          <w:szCs w:val="28"/>
        </w:rPr>
      </w:pPr>
      <w:r>
        <w:rPr>
          <w:rStyle w:val="928"/>
        </w:rPr>
        <w:footnoteRef/>
      </w:r>
      <w:r>
        <w:t xml:space="preserve"> </w:t>
      </w:r>
      <w:r>
        <w:rPr>
          <w:color w:val="000000"/>
          <w:spacing w:val="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Данные расчеты основаны на результатах работы инспекции в 2023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</w:pPr>
      <w:r/>
      <w:r/>
    </w:p>
  </w:footnote>
  <w:footnote w:id="6">
    <w:p>
      <w:pPr>
        <w:pStyle w:val="948"/>
        <w:ind w:left="0" w:right="0" w:firstLine="720"/>
        <w:jc w:val="both"/>
        <w:keepLines w:val="0"/>
        <w:keepNext w:val="0"/>
        <w:spacing w:before="0" w:after="340"/>
        <w:shd w:val="clear" w:color="auto" w:fill="auto"/>
        <w:widowControl w:val="off"/>
        <w:rPr>
          <w:sz w:val="28"/>
          <w:szCs w:val="28"/>
        </w:rPr>
      </w:pPr>
      <w:r>
        <w:rPr>
          <w:rStyle w:val="928"/>
        </w:rPr>
        <w:footnoteRef/>
      </w:r>
      <w:r>
        <w:t xml:space="preserve"> </w:t>
      </w:r>
      <w:r>
        <w:rPr>
          <w:color w:val="000000"/>
          <w:spacing w:val="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Данные расчеты основаны на результатах работы инспекции в 2022 - 2023 гг.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</w:pPr>
      <w:r/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488950</wp:posOffset>
              </wp:positionV>
              <wp:extent cx="5461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50"/>
                            <w:ind w:left="0" w:right="0" w:firstLine="0"/>
                            <w:jc w:val="left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</w:pPr>
                          <w:fldSimple w:instr="PAGE \* MERGEFORMAT">
                            <w:r>
                              <w:rPr>
                                <w:rFonts w:ascii="Cambria" w:hAnsi="Cambria" w:eastAsia="Cambria" w:cs="Cambria"/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1</w:t>
                            </w:r>
                          </w:fldSimple>
                          <w:r>
                            <w:rPr>
                              <w:rFonts w:ascii="Cambria" w:hAnsi="Cambria" w:eastAsia="Cambria" w:cs="Cambria"/>
                              <w:color w:val="000000"/>
                              <w:spacing w:val="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</w:r>
                          <w:r>
                            <w:rPr>
                              <w:rFonts w:ascii="Cambria" w:hAnsi="Cambria" w:eastAsia="Cambria" w:cs="Cambria"/>
                              <w:color w:val="000000"/>
                              <w:spacing w:val="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62914690;o:allowoverlap:true;o:allowincell:true;mso-position-horizontal-relative:page;margin-left:301.00pt;mso-position-horizontal:absolute;mso-position-vertical-relative:page;margin-top:38.50pt;mso-position-vertical:absolute;width:4.30pt;height:7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50"/>
                      <w:ind w:left="0" w:right="0" w:firstLine="0"/>
                      <w:jc w:val="left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</w:pPr>
                    <w:fldSimple w:instr="PAGE \* MERGEFORMAT">
                      <w:r>
                        <w:rPr>
                          <w:rFonts w:ascii="Cambria" w:hAnsi="Cambria" w:eastAsia="Cambria" w:cs="Cambria"/>
                          <w:color w:val="000000"/>
                          <w:spacing w:val="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1</w:t>
                      </w:r>
                    </w:fldSimple>
                    <w:r>
                      <w:rPr>
                        <w:rFonts w:ascii="Cambria" w:hAnsi="Cambria" w:eastAsia="Cambria" w:cs="Cambria"/>
                        <w:color w:val="000000"/>
                        <w:spacing w:val="0"/>
                        <w:position w:val="0"/>
                        <w:shd w:val="clear" w:color="auto" w:fill="auto"/>
                        <w:lang w:val="ru-RU" w:eastAsia="ru-RU" w:bidi="ru-RU"/>
                      </w:rPr>
                    </w:r>
                    <w:r>
                      <w:rPr>
                        <w:rFonts w:ascii="Cambria" w:hAnsi="Cambria" w:eastAsia="Cambria" w:cs="Cambria"/>
                        <w:color w:val="000000"/>
                        <w:spacing w:val="0"/>
                        <w:position w:val="0"/>
                        <w:shd w:val="clear" w:color="auto" w:fill="auto"/>
                        <w:lang w:val="ru-RU" w:eastAsia="ru-RU" w:bidi="ru-RU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hd w:val="clear" w:color="auto" w:fill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>
    <w:name w:val="Heading 1"/>
    <w:basedOn w:val="943"/>
    <w:next w:val="943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6">
    <w:name w:val="Heading 1 Char"/>
    <w:basedOn w:val="944"/>
    <w:link w:val="765"/>
    <w:uiPriority w:val="9"/>
    <w:rPr>
      <w:rFonts w:ascii="Arial" w:hAnsi="Arial" w:eastAsia="Arial" w:cs="Arial"/>
      <w:sz w:val="40"/>
      <w:szCs w:val="40"/>
    </w:rPr>
  </w:style>
  <w:style w:type="paragraph" w:styleId="767">
    <w:name w:val="Heading 2"/>
    <w:basedOn w:val="943"/>
    <w:next w:val="943"/>
    <w:link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8">
    <w:name w:val="Heading 2 Char"/>
    <w:basedOn w:val="944"/>
    <w:link w:val="767"/>
    <w:uiPriority w:val="9"/>
    <w:rPr>
      <w:rFonts w:ascii="Arial" w:hAnsi="Arial" w:eastAsia="Arial" w:cs="Arial"/>
      <w:sz w:val="34"/>
    </w:rPr>
  </w:style>
  <w:style w:type="paragraph" w:styleId="769">
    <w:name w:val="Heading 3"/>
    <w:basedOn w:val="943"/>
    <w:next w:val="943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0">
    <w:name w:val="Heading 3 Char"/>
    <w:basedOn w:val="944"/>
    <w:link w:val="769"/>
    <w:uiPriority w:val="9"/>
    <w:rPr>
      <w:rFonts w:ascii="Arial" w:hAnsi="Arial" w:eastAsia="Arial" w:cs="Arial"/>
      <w:sz w:val="30"/>
      <w:szCs w:val="30"/>
    </w:rPr>
  </w:style>
  <w:style w:type="paragraph" w:styleId="771">
    <w:name w:val="Heading 4"/>
    <w:basedOn w:val="943"/>
    <w:next w:val="943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>
    <w:name w:val="Heading 4 Char"/>
    <w:basedOn w:val="944"/>
    <w:link w:val="771"/>
    <w:uiPriority w:val="9"/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943"/>
    <w:next w:val="943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>
    <w:name w:val="Heading 5 Char"/>
    <w:basedOn w:val="944"/>
    <w:link w:val="773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43"/>
    <w:next w:val="943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4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43"/>
    <w:next w:val="943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4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43"/>
    <w:next w:val="943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4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43"/>
    <w:next w:val="943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4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943"/>
    <w:uiPriority w:val="34"/>
    <w:qFormat/>
    <w:pPr>
      <w:contextualSpacing/>
      <w:ind w:left="720"/>
    </w:p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43"/>
    <w:next w:val="943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basedOn w:val="944"/>
    <w:link w:val="785"/>
    <w:uiPriority w:val="10"/>
    <w:rPr>
      <w:sz w:val="48"/>
      <w:szCs w:val="48"/>
    </w:rPr>
  </w:style>
  <w:style w:type="paragraph" w:styleId="787">
    <w:name w:val="Subtitle"/>
    <w:basedOn w:val="943"/>
    <w:next w:val="943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4"/>
    <w:link w:val="787"/>
    <w:uiPriority w:val="11"/>
    <w:rPr>
      <w:sz w:val="24"/>
      <w:szCs w:val="24"/>
    </w:rPr>
  </w:style>
  <w:style w:type="paragraph" w:styleId="789">
    <w:name w:val="Quote"/>
    <w:basedOn w:val="943"/>
    <w:next w:val="943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43"/>
    <w:next w:val="943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paragraph" w:styleId="793">
    <w:name w:val="Header"/>
    <w:basedOn w:val="943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Header Char"/>
    <w:basedOn w:val="944"/>
    <w:link w:val="793"/>
    <w:uiPriority w:val="99"/>
  </w:style>
  <w:style w:type="paragraph" w:styleId="795">
    <w:name w:val="Footer"/>
    <w:basedOn w:val="943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Footer Char"/>
    <w:basedOn w:val="944"/>
    <w:link w:val="795"/>
    <w:uiPriority w:val="99"/>
  </w:style>
  <w:style w:type="paragraph" w:styleId="797">
    <w:name w:val="Caption"/>
    <w:basedOn w:val="943"/>
    <w:next w:val="9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795"/>
    <w:uiPriority w:val="99"/>
  </w:style>
  <w:style w:type="table" w:styleId="7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943"/>
    <w:link w:val="927"/>
    <w:uiPriority w:val="99"/>
    <w:semiHidden/>
    <w:unhideWhenUsed/>
    <w:pPr>
      <w:spacing w:after="40" w:line="240" w:lineRule="auto"/>
    </w:pPr>
    <w:rPr>
      <w:sz w:val="18"/>
    </w:rPr>
  </w:style>
  <w:style w:type="character" w:styleId="927">
    <w:name w:val="Footnote Text Char"/>
    <w:link w:val="926"/>
    <w:uiPriority w:val="99"/>
    <w:rPr>
      <w:sz w:val="18"/>
    </w:rPr>
  </w:style>
  <w:style w:type="character" w:styleId="928">
    <w:name w:val="footnote reference"/>
    <w:basedOn w:val="944"/>
    <w:uiPriority w:val="99"/>
    <w:unhideWhenUsed/>
    <w:rPr>
      <w:vertAlign w:val="superscript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basedOn w:val="944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 w:val="off"/>
    </w:pPr>
    <w:rPr>
      <w:rFonts w:ascii="Arial Unicode MS" w:hAnsi="Arial Unicode MS" w:eastAsia="Arial Unicode MS" w:cs="Arial Unicode MS"/>
      <w:color w:val="000000"/>
      <w:spacing w:val="0"/>
      <w:position w:val="0"/>
      <w:sz w:val="24"/>
      <w:szCs w:val="24"/>
      <w:shd w:val="clear" w:color="auto" w:fill="auto"/>
      <w:lang w:val="ru-RU" w:eastAsia="ru-RU" w:bidi="ru-RU"/>
    </w:rPr>
  </w:style>
  <w:style w:type="character" w:styleId="944" w:default="1">
    <w:name w:val="Default Paragraph Font"/>
    <w:rPr>
      <w:rFonts w:ascii="Arial Unicode MS" w:hAnsi="Arial Unicode MS" w:eastAsia="Arial Unicode MS" w:cs="Arial Unicode MS"/>
      <w:color w:val="000000"/>
      <w:spacing w:val="0"/>
      <w:position w:val="0"/>
      <w:sz w:val="24"/>
      <w:szCs w:val="24"/>
      <w:shd w:val="clear" w:color="auto" w:fill="auto"/>
      <w:lang w:val="ru-RU" w:eastAsia="ru-RU" w:bidi="ru-RU"/>
    </w:rPr>
  </w:style>
  <w:style w:type="character" w:styleId="945" w:customStyle="1">
    <w:name w:val="Основной текст_"/>
    <w:basedOn w:val="944"/>
    <w:link w:val="94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46" w:customStyle="1">
    <w:name w:val="Основной текст (2)_"/>
    <w:basedOn w:val="944"/>
    <w:link w:val="94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947" w:customStyle="1">
    <w:name w:val="Колонтитул (2)_"/>
    <w:basedOn w:val="944"/>
    <w:link w:val="95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948" w:customStyle="1">
    <w:name w:val="Основной текст"/>
    <w:basedOn w:val="943"/>
    <w:link w:val="945"/>
    <w:pPr>
      <w:ind w:firstLine="400"/>
      <w:spacing w:line="276" w:lineRule="auto"/>
      <w:shd w:val="clear" w:color="auto" w:fill="auto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949" w:customStyle="1">
    <w:name w:val="Основной текст (2)"/>
    <w:basedOn w:val="943"/>
    <w:link w:val="946"/>
    <w:pPr>
      <w:ind w:firstLine="1010"/>
      <w:jc w:val="center"/>
      <w:spacing w:after="150" w:line="264" w:lineRule="auto"/>
      <w:shd w:val="clear" w:color="auto" w:fill="auto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950" w:customStyle="1">
    <w:name w:val="Колонтитул (2)"/>
    <w:basedOn w:val="943"/>
    <w:link w:val="947"/>
    <w:pPr>
      <w:shd w:val="clear" w:color="auto" w:fill="auto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  <w:style w:type="paragraph" w:styleId="95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modified xsi:type="dcterms:W3CDTF">2024-04-22T07:08:45Z</dcterms:modified>
</cp:coreProperties>
</file>