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министерство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Style w:val="842"/>
          <w:rFonts w:ascii="Times New Roman" w:hAnsi="Times New Roman" w:cs="Times New Roman"/>
          <w:b w:val="0"/>
          <w:bCs w:val="0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внесении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министерством сельского хозяйства и продовольствия Белгородской области государственн</w:t>
      </w:r>
      <w:r>
        <w:rPr>
          <w:rFonts w:ascii="Times New Roman" w:hAnsi="Times New Roman" w:cs="Times New Roman"/>
          <w:sz w:val="26"/>
          <w:szCs w:val="26"/>
        </w:rPr>
        <w:t xml:space="preserve">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</w:t>
      </w:r>
      <w:r>
        <w:rPr>
          <w:rFonts w:ascii="Times New Roman" w:hAnsi="Times New Roman" w:cs="Times New Roman"/>
          <w:sz w:val="26"/>
          <w:szCs w:val="26"/>
        </w:rPr>
        <w:t xml:space="preserve">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«21» фев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раля 2025 года по «06» марта 2025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Административным регламентом перечни документов, необходимых для оказания 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Лицензирование розничной продажи алкогольной продукции (за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</w:t>
      </w:r>
      <w:r>
        <w:rPr>
          <w:rFonts w:ascii="Times New Roman" w:hAnsi="Times New Roman" w:cs="Times New Roman"/>
          <w:sz w:val="26"/>
          <w:szCs w:val="26"/>
        </w:rPr>
        <w:t xml:space="preserve">ными производителями винодельческой продукции) на территории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Нестеренко Сергей Юрьевич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начальник отдела лицензирования департамента потребительского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35-30-44.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nesterenko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связи с принятием </w:t>
      </w:r>
      <w:r>
        <w:rPr>
          <w:rFonts w:ascii="Times New Roman" w:hAnsi="Times New Roman" w:cs="Times New Roman"/>
          <w:sz w:val="26"/>
          <w:szCs w:val="26"/>
        </w:rPr>
        <w:t xml:space="preserve">Федеральн</w:t>
      </w:r>
      <w:r>
        <w:rPr>
          <w:rFonts w:ascii="Times New Roman" w:hAnsi="Times New Roman" w:cs="Times New Roman"/>
          <w:sz w:val="26"/>
          <w:szCs w:val="26"/>
        </w:rPr>
        <w:t xml:space="preserve">ого</w:t>
      </w:r>
      <w:r>
        <w:rPr>
          <w:rFonts w:ascii="Times New Roman" w:hAnsi="Times New Roman" w:cs="Times New Roman"/>
          <w:sz w:val="26"/>
          <w:szCs w:val="26"/>
        </w:rPr>
        <w:t xml:space="preserve"> законами от 08 августа 2024 года № 316-ФЗ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</w:t>
      </w:r>
      <w:r>
        <w:rPr>
          <w:rFonts w:ascii="Times New Roman" w:hAnsi="Times New Roman" w:cs="Times New Roman"/>
          <w:sz w:val="26"/>
          <w:szCs w:val="26"/>
        </w:rPr>
        <w:t xml:space="preserve"> (распития) алкогольной продукции» и статьи 1 и 2 Федерального закона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</w:t>
      </w:r>
      <w:r>
        <w:rPr>
          <w:rFonts w:ascii="Times New Roman" w:hAnsi="Times New Roman" w:cs="Times New Roman"/>
          <w:sz w:val="26"/>
          <w:szCs w:val="26"/>
        </w:rPr>
        <w:t xml:space="preserve">(распития) алкогольной продукции»</w:t>
      </w:r>
      <w:r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316-ФЗ) необходимо внесение изменений </w:t>
      </w:r>
      <w:r>
        <w:rPr>
          <w:rFonts w:ascii="Times New Roman" w:hAnsi="Times New Roman" w:cs="Times New Roman"/>
          <w:sz w:val="26"/>
          <w:szCs w:val="26"/>
        </w:rPr>
        <w:t xml:space="preserve">для актуальной информации 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перечня документов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административн</w:t>
      </w:r>
      <w:r>
        <w:rPr>
          <w:rFonts w:ascii="Times New Roman" w:hAnsi="Times New Roman" w:cs="Times New Roman"/>
          <w:sz w:val="26"/>
          <w:szCs w:val="26"/>
        </w:rPr>
        <w:t xml:space="preserve">ом</w:t>
      </w:r>
      <w:r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по предоставлению министерством сельского хозяйства и продовольствия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проведенного анализа нормативных правовых актов, в связи</w:t>
      </w:r>
      <w:r>
        <w:rPr>
          <w:rFonts w:ascii="Times New Roman" w:hAnsi="Times New Roman" w:cs="Times New Roman"/>
          <w:sz w:val="26"/>
          <w:szCs w:val="26"/>
        </w:rPr>
        <w:br/>
        <w:t xml:space="preserve">с изменениями, внесёнными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Федерального закона от 22 ноября 1995 года № 171-ФЗ «О государственном регулировании производства и оборота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эт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</w:t>
      </w:r>
      <w:r>
        <w:rPr>
          <w:rFonts w:ascii="Times New Roman" w:hAnsi="Times New Roman" w:cs="Times New Roman"/>
          <w:sz w:val="26"/>
          <w:szCs w:val="26"/>
        </w:rPr>
        <w:t xml:space="preserve">и в целях приведения нормативных правовых актов Белгородской области в соответствие с действующим з</w:t>
      </w:r>
      <w:r>
        <w:rPr>
          <w:rFonts w:ascii="Times New Roman" w:hAnsi="Times New Roman" w:cs="Times New Roman"/>
          <w:sz w:val="26"/>
          <w:szCs w:val="26"/>
        </w:rPr>
        <w:t xml:space="preserve">аконодательством подготовлен </w:t>
      </w:r>
      <w:r>
        <w:rPr>
          <w:rStyle w:val="842"/>
          <w:rFonts w:ascii="Times New Roman" w:hAnsi="Times New Roman" w:cs="Times New Roman"/>
          <w:b w:val="0"/>
          <w:bCs w:val="0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</w:t>
      </w:r>
      <w:r>
        <w:rPr>
          <w:rFonts w:ascii="Times New Roman" w:hAnsi="Times New Roman" w:cs="Times New Roman"/>
          <w:sz w:val="26"/>
          <w:szCs w:val="26"/>
        </w:rPr>
        <w:t xml:space="preserve">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области»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Отсутствие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актуального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перечня документов на предоставление государственной услуги в соответствии с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действующим Федеральным законодательством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по </w:t>
      </w:r>
      <w:r>
        <w:rPr>
          <w:rFonts w:ascii="Times New Roman" w:hAnsi="Times New Roman" w:eastAsia="Arial" w:cs="Times New Roman"/>
          <w:sz w:val="26"/>
          <w:szCs w:val="26"/>
          <w:highlight w:val="none"/>
        </w:rPr>
        <w:t xml:space="preserve">лицензированию розничной продажи алкогольной продукции 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 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Вологодской, Новосибирской, Саратовской, Сахалинской области, г. Севастополь, Чеченской Республики, Ямало-Ненецкого автономного округа утверждены административные регламент</w:t>
      </w:r>
      <w:r>
        <w:rPr>
          <w:rFonts w:ascii="Times New Roman" w:hAnsi="Times New Roman" w:cs="Times New Roman"/>
          <w:sz w:val="26"/>
          <w:szCs w:val="26"/>
        </w:rPr>
        <w:t xml:space="preserve">ы по предоставлению государственной услуги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лицензированию розничной продажи алкогольной продукции.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результативной и эффективной системы по организации предоставления государственной услуги по лицензированию </w:t>
      </w:r>
      <w:r>
        <w:rPr>
          <w:rFonts w:ascii="Times New Roman" w:hAnsi="Times New Roman" w:eastAsia="Arial" w:cs="Times New Roman"/>
          <w:sz w:val="26"/>
          <w:szCs w:val="26"/>
        </w:rPr>
        <w:t xml:space="preserve">розничной продажи алкогольной продукции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Федеральный закон от 08 августа 2024 года № 316-ФЗ «О внесении изменений в Федеральный закон «О государственном регулировании производства и оборота</w:t>
      </w:r>
      <w:r>
        <w:rPr>
          <w:rFonts w:ascii="Times New Roman" w:hAnsi="Times New Roman" w:cs="Times New Roman"/>
          <w:sz w:val="26"/>
          <w:szCs w:val="26"/>
        </w:rPr>
        <w:t xml:space="preserve"> этилового спирта, алкогольной и спиртосодержащей продукции и об ограничении потребления (распития) алкогольной продукции» и статьи 1 и 2 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 Федеральный закон «О государственном регулировании производства и оборота </w:t>
      </w:r>
      <w:r>
        <w:rPr>
          <w:rFonts w:ascii="Times New Roman" w:hAnsi="Times New Roman" w:cs="Times New Roman"/>
          <w:sz w:val="26"/>
          <w:szCs w:val="26"/>
        </w:rPr>
        <w:t xml:space="preserve">этилового спирта, алкогольной и спиртосодержащей продукции и об ограничении потребления (распития) алкогольной продукции».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2025 года.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приказа министерства сельского хозяйства и продовольствия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вносятся изменения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</w:t>
      </w:r>
      <w:r>
        <w:rPr>
          <w:rFonts w:ascii="Times New Roman" w:hAnsi="Times New Roman" w:cs="Times New Roman"/>
          <w:sz w:val="26"/>
          <w:szCs w:val="26"/>
        </w:rPr>
        <w:t xml:space="preserve">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</w:t>
      </w:r>
      <w:r>
        <w:rPr>
          <w:rFonts w:ascii="Times New Roman" w:hAnsi="Times New Roman" w:cs="Times New Roman"/>
          <w:sz w:val="26"/>
          <w:szCs w:val="26"/>
        </w:rPr>
        <w:t xml:space="preserve">производителями винодельческой продукции) на территории Белгородской области»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части: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актуализирован перечень документов, необходимых для оказания государственной услуги по лицензированию розничной продажи алкогольной продукции;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снижен срок направлени</w:t>
      </w:r>
      <w:r>
        <w:rPr>
          <w:rFonts w:ascii="Times New Roman" w:hAnsi="Times New Roman" w:cs="Times New Roman"/>
          <w:sz w:val="26"/>
          <w:szCs w:val="26"/>
        </w:rPr>
        <w:t xml:space="preserve">я уведомления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уточнен перечень </w:t>
      </w:r>
      <w:r>
        <w:rPr>
          <w:rFonts w:ascii="Times New Roman" w:hAnsi="Times New Roman" w:cs="Times New Roman"/>
          <w:sz w:val="26"/>
          <w:szCs w:val="26"/>
        </w:rPr>
        <w:t xml:space="preserve">оснований для отказа по каждому варианту предоставления государственной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tbl>
      <w:tblPr>
        <w:tblW w:w="965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75"/>
        <w:gridCol w:w="4782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Предлагаемое регулирование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Альтернативный вариант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решения проблемы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Срок направления уведомления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 о необходимости устранения выявленных нарушений в случае выявления нарушений по результатам проведения проверки документов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составляет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10 рабочих дней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случае выявления нарушений по результатам проведения проверки документов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 министерство принимает решение об отказе в предоставлении государственной услуги</w:t>
            </w:r>
            <w:r>
              <w:rPr>
                <w:highlight w:val="none"/>
              </w:rPr>
            </w:r>
          </w:p>
        </w:tc>
      </w:tr>
      <w:tr>
        <w:trPr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 заявителей отсутствует необходимость в предоставлении в министерство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уведомления о начале предоставления услуг общественного питания.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Предоставляется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 министерство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заверенная заявителем копия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у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ведомления о начале предоставления услуг общественного питания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является принятие проекта</w:t>
      </w:r>
      <w:r>
        <w:rPr>
          <w:rStyle w:val="842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</w:t>
      </w:r>
      <w:r>
        <w:rPr>
          <w:rFonts w:ascii="Times New Roman" w:hAnsi="Times New Roman" w:cs="Times New Roman"/>
          <w:sz w:val="26"/>
          <w:szCs w:val="26"/>
        </w:rP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</w:t>
      </w:r>
      <w:r>
        <w:rPr>
          <w:rFonts w:ascii="Times New Roman" w:hAnsi="Times New Roman" w:cs="Times New Roman"/>
          <w:sz w:val="26"/>
          <w:szCs w:val="26"/>
        </w:rPr>
        <w:t xml:space="preserve">лицензирования розничной продажи произведенной сельскохозяйственными производителя</w:t>
      </w:r>
      <w:r>
        <w:rPr>
          <w:rFonts w:ascii="Times New Roman" w:hAnsi="Times New Roman" w:cs="Times New Roman"/>
          <w:sz w:val="26"/>
          <w:szCs w:val="26"/>
        </w:rP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области»,</w:t>
      </w:r>
      <w:r>
        <w:rPr>
          <w:rFonts w:ascii="Times New Roman" w:hAnsi="Times New Roman" w:cs="Times New Roman"/>
          <w:sz w:val="26"/>
          <w:szCs w:val="26"/>
        </w:rPr>
        <w:t xml:space="preserve"> поскольку предлагаемое правовое регулирование позволит повысить качество оказания государственной услуги, снизить нагрузку на заявителей по предоставлению документов, которые находятся в распоряжении других государственных органов и иных органов, участвую</w:t>
      </w:r>
      <w:r>
        <w:rPr>
          <w:rFonts w:ascii="Times New Roman" w:hAnsi="Times New Roman" w:cs="Times New Roman"/>
          <w:sz w:val="26"/>
          <w:szCs w:val="26"/>
        </w:rPr>
        <w:t xml:space="preserve">щих в предоставлении государственной услуги, а также снизить количество случаев отказа в предоставлении государственной услуги с потерей уплаченной суммы государственной пошлины, связанных с несоблюдением обязательных требований к документам, необходимым д</w:t>
      </w:r>
      <w:r>
        <w:rPr>
          <w:rFonts w:ascii="Times New Roman" w:hAnsi="Times New Roman" w:cs="Times New Roman"/>
          <w:sz w:val="26"/>
          <w:szCs w:val="26"/>
        </w:rPr>
        <w:t xml:space="preserve">ля получения государственной услуги.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Организации-соискатели лицензий, планирующие осуществление розничной продажи алкогольной продукции и розничной продажи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Организации-лицензиаты, осуществляющие розничную продажу алкогольной пр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одукции и розничную продажу алкогольной продукции при оказании услуг общественного питания (по состоянию на 01.11.2024)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296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ответственности за нарушение нормативных п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Организации-соискатели лицензий и организации-лиц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ензиаты, осуществляющие розничную продажу алкогольной продукции и розничную продажу 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- сокращение времени соискателя лицензии на подготовку пакета документов;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отсутствие необход</w:t>
            </w:r>
            <w:r>
              <w:rPr>
                <w:rFonts w:ascii="Times New Roman" w:hAnsi="Times New Roman" w:cs="Times New Roman"/>
              </w:rPr>
              <w:t xml:space="preserve">имости представления документов, которые находятся в распоряжении других государственных органов и иных органов, участвующих в </w:t>
            </w:r>
            <w:r>
              <w:rPr>
                <w:rFonts w:ascii="Times New Roman" w:hAnsi="Times New Roman" w:cs="Times New Roman"/>
              </w:rPr>
              <w:t xml:space="preserve">предоставлении государственной услуги;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- </w:t>
            </w:r>
            <w:r>
              <w:rPr>
                <w:rFonts w:ascii="Times New Roman" w:hAnsi="Times New Roman" w:eastAsia="Calibri" w:cs="Times New Roman"/>
                <w:iCs/>
              </w:rPr>
              <w:t xml:space="preserve">предоставление информации и документов необходимых для получения государственной услуги по лицензированию розничной продажи алкогольной продукции;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направление в лицензирующий орган сообщения об устранении выявленных нарушений.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Предоставление заявления и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документов, </w:t>
            </w:r>
            <w:bookmarkStart w:id="1" w:name="_Hlk84854832"/>
            <w:r/>
            <w:bookmarkEnd w:id="1"/>
            <w:r>
              <w:rPr>
                <w:rFonts w:ascii="Times New Roman" w:hAnsi="Times New Roman"/>
                <w:shd w:val="clear" w:color="auto" w:fill="ffffff"/>
              </w:rPr>
              <w:t xml:space="preserve">необходимых для предоставления государственной услуги по лицензированию розничной продажи алкогольной продукции на территории Белгородской области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электронном виде через </w:t>
            </w:r>
            <w:r>
              <w:rPr>
                <w:rFonts w:ascii="Times New Roman" w:hAnsi="Times New Roman"/>
              </w:rPr>
              <w:t xml:space="preserve">единый портал государственных услуг, а также получение части документов </w:t>
            </w:r>
            <w:r>
              <w:rPr>
                <w:rFonts w:ascii="Times New Roman" w:hAnsi="Times New Roman"/>
              </w:rPr>
              <w:t xml:space="preserve">самостоятельно уполномоченным органом по средствам межведомственного взаимодействия позволит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уменьшить  расходы заявителей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169,98 тыс. 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(307,05 руб. * 1,6 чел./часа * 346 ед.)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 xml:space="preserve">Общая стоимость требования по предоставлению документов, необходимых для получения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265,60 тыс. 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lang w:eastAsia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307,05 руб. * 2,5 </w:t>
            </w:r>
            <w:r>
              <w:rPr>
                <w:rFonts w:ascii="Times New Roman" w:hAnsi="Times New Roman"/>
                <w:lang w:eastAsia="ru-RU"/>
              </w:rPr>
              <w:t xml:space="preserve">чел./час* 346 ед.)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Предоставление государственной услуги по лицензированию розничной продажи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алкогольной продукции будет осуществляться в соответствии с ранее установленными полномочиями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предоставление необходимых документов организациями в целях принятии министерством решения о предоставление государственной услуги по лицензированию розничной продажи алкогольной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Качественная проверка пакета документов на стадии направл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ения заявления через единый портал государственных услуг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2693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принятии приказа министерства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внесении изменений в Административный регламент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порядке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 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2410"/>
        <w:gridCol w:w="1984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br/>
              <w:t xml:space="preserve">в предложенном регулировании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Количественное значение ключевых показателей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br/>
              <w:t xml:space="preserve">(не более 5 лет)</w:t>
            </w:r>
            <w:r>
              <w:rPr>
                <w:highlight w:val="none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принятых решений об от</w:t>
            </w:r>
            <w:bookmarkStart w:id="2" w:name="_GoBack"/>
            <w:r>
              <w:rPr>
                <w:highlight w:val="none"/>
              </w:rPr>
            </w:r>
            <w:bookmarkEnd w:id="2"/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казе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неполн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ым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ом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документов, предусмотренных для выдачи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, переоформлении или продлении срока действия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лицензии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Не более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Анализ количества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принятых решений об отказе министерством</w:t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(1 год)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Декабрь 2025 г.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14 марта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455"/>
        <w:gridCol w:w="1358"/>
        <w:gridCol w:w="446"/>
        <w:gridCol w:w="446"/>
        <w:gridCol w:w="1787"/>
      </w:tblGrid>
      <w:tr>
        <w:trPr>
          <w:trHeight w:val="301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Начальник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Н.Ю. Горбачева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2">
    <w:name w:val="Strong"/>
    <w:qFormat/>
    <w:rPr>
      <w:b/>
      <w:bCs/>
    </w:rPr>
  </w:style>
  <w:style w:type="paragraph" w:styleId="843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</cp:revision>
  <dcterms:created xsi:type="dcterms:W3CDTF">2025-02-20T13:43:00Z</dcterms:created>
  <dcterms:modified xsi:type="dcterms:W3CDTF">2025-02-21T12:29:47Z</dcterms:modified>
</cp:coreProperties>
</file>