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Изменение стандартного расчета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издержек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и выгод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Название требования: </w:t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п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редставление документов для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участия в отборе на получение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гранта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субъектам малого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и среднего предпринимательства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в целях выхода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на маркетплейсы для реализации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товаров (работ, услуг)»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Условие возникновения требования:</w:t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</w:t>
      </w:r>
      <w:r>
        <w:rPr>
          <w:rFonts w:ascii="Times New Roman" w:hAnsi="Times New Roman"/>
          <w:i/>
          <w:sz w:val="28"/>
          <w:szCs w:val="28"/>
        </w:rPr>
        <w:t xml:space="preserve">бращение в </w:t>
      </w:r>
      <w:r>
        <w:rPr>
          <w:rFonts w:ascii="Times New Roman" w:hAnsi="Times New Roman"/>
          <w:i/>
          <w:sz w:val="28"/>
          <w:szCs w:val="28"/>
        </w:rPr>
        <w:t xml:space="preserve">министерство </w:t>
      </w:r>
      <w:r>
        <w:rPr>
          <w:rFonts w:ascii="Times New Roman" w:hAnsi="Times New Roman"/>
          <w:i/>
          <w:sz w:val="28"/>
          <w:szCs w:val="28"/>
        </w:rPr>
        <w:t xml:space="preserve">экономического развития </w:t>
      </w:r>
      <w:r>
        <w:rPr>
          <w:rFonts w:ascii="Times New Roman" w:hAnsi="Times New Roman"/>
          <w:i/>
          <w:sz w:val="28"/>
          <w:szCs w:val="28"/>
        </w:rPr>
        <w:t xml:space="preserve">и промышленности </w:t>
      </w:r>
      <w:r>
        <w:rPr>
          <w:rFonts w:ascii="Times New Roman" w:hAnsi="Times New Roman"/>
          <w:i/>
          <w:sz w:val="28"/>
          <w:szCs w:val="28"/>
        </w:rPr>
        <w:t xml:space="preserve">Белгородской </w:t>
      </w:r>
      <w:r>
        <w:rPr>
          <w:rFonts w:ascii="Times New Roman" w:hAnsi="Times New Roman"/>
          <w:i/>
          <w:sz w:val="28"/>
          <w:szCs w:val="28"/>
        </w:rPr>
        <w:t xml:space="preserve">области.</w:t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Тип требования: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п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одготовка и представление документов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</w:t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Масштаб: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По сведениям Единого реестра субъектов МСП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по состоянию на 10.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12.2023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к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оличество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субъектов малого и среднего предпринимательства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60 596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ед.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Потенциальное количество участников отбора на получение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грантов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200 ед.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Частота: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субъект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МСП может получить грант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один раз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40210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руб.</w:t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228,4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7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(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40210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/22 рабочих дня/8 рабочих часов)</w:t>
      </w:r>
      <w:r/>
    </w:p>
    <w:p>
      <w:pPr>
        <w:pStyle w:val="812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tbl>
      <w:tblPr>
        <w:tblW w:w="1049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45"/>
        <w:gridCol w:w="5245"/>
      </w:tblGrid>
      <w:tr>
        <w:trPr/>
        <w:tc>
          <w:tcPr>
            <w:tcW w:w="5245" w:type="dxa"/>
            <w:vAlign w:val="top"/>
            <w:textDirection w:val="lrTb"/>
            <w:noWrap w:val="false"/>
          </w:tcPr>
          <w:p>
            <w:pPr>
              <w:pStyle w:val="812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Текущее регулирование</w:t>
            </w:r>
            <w:r/>
          </w:p>
        </w:tc>
        <w:tc>
          <w:tcPr>
            <w:tcW w:w="5245" w:type="dxa"/>
            <w:vAlign w:val="top"/>
            <w:textDirection w:val="lrTb"/>
            <w:noWrap w:val="false"/>
          </w:tcPr>
          <w:p>
            <w:pPr>
              <w:pStyle w:val="812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Новое регулирование</w:t>
            </w:r>
            <w:r/>
          </w:p>
        </w:tc>
      </w:tr>
      <w:tr>
        <w:trPr/>
        <w:tc>
          <w:tcPr>
            <w:tcW w:w="5245" w:type="dxa"/>
            <w:vAlign w:val="top"/>
            <w:textDirection w:val="lrTb"/>
            <w:noWrap w:val="false"/>
          </w:tcPr>
          <w:p>
            <w:pPr>
              <w:pStyle w:val="812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Финансовая поддержка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отсутствует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5245" w:type="dxa"/>
            <w:vAlign w:val="top"/>
            <w:textDirection w:val="lrTb"/>
            <w:noWrap w:val="false"/>
          </w:tcPr>
          <w:p>
            <w:pPr>
              <w:pStyle w:val="812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 Подготовка 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акет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документов для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отбора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и получения субсидии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:</w:t>
            </w:r>
            <w:r/>
          </w:p>
          <w:p>
            <w:pPr>
              <w:pStyle w:val="812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а) заявление по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установленной форме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0,2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чел./час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</w:t>
            </w:r>
            <w:r/>
          </w:p>
          <w:p>
            <w:pPr>
              <w:pStyle w:val="812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б) документ, подтверждающий полномочия лица на осуществление действий от имени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участника отбора –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0,2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чел./час;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12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в) выписка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из Единого государственного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реестра юридических лиц (выписка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из единого государственного реестра индивидуальных предпринимателей) по состоянию на дату подачи заявки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0,1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чел./час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12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г)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instrText xml:space="preserve"> HYPERLINK \l "P366" \h 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справка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об отсутствии просроченной задолженности по возврату в бюджет Белгородской области, иных субсидий, бюджетных инвестиций, предоставленных,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 том числе в соответствии с иными правовыми актами, а также иной просроченной (неурегулированной) задолженности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 денежным обязательствам перед бюджетом Белгородской области по состоянию на первое число месяца, в котором подается заявка,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установленной форме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чел./час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</w:t>
            </w:r>
            <w:r/>
          </w:p>
          <w:p>
            <w:pPr>
              <w:pStyle w:val="812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д)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HYPERLINK "consultantplus://offline/ref=8A12DD42A401970EB71F3937FC5750D1639C76E41D9A3D107DF88DC3972427C1391B7D20FB230677CDDFCECE5F9E6AA737B1CE9D42B1C1D0bEC3K" \h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справка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исполнении налогоплательщиком (плательщиком сбора, плательщиком страховых взносов, налоговым агентом) обязанности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уплате налогов, сборов, страховых взносов, пеней, штрафов,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процентов по форме, утвержденной приказом Федеральной налоговой службы от 23 ноября 2022 года № ЕД-7-8/1123@ «Об утверждении формы справки об исполнении налогоплательщиком (плательщиком сбора, плательщиком страховых взносов, налоговым агентом) обязанности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уплате налогов, сборов, страховых взносов, пеней, штрафов, процентов и формата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ее представления в электронной форме», код по КНД 1120101, по состоянию на дату формирования, но не ранее </w:t>
              <w:br w:type="textWrapping" w:clear="all"/>
              <w:t xml:space="preserve">14 (четырнадцати) календарных дней до даты подачи заявки на участие </w:t>
              <w:br w:type="textWrapping" w:clear="all"/>
              <w:t xml:space="preserve">в отборе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чел./час;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е) справка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наличии по состоянию на дату формирования справки положительного, отрицательного или нулевого сал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ьдо единого налогового счета такого налогоплательщика, плательщи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 сбора или налогового агента </w:t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(в случае, если участник отбора имеет неисполненную обязанность по уплате налогов, сборов, страховых взносов, пеней, штрафов, процентов), утвержденной приказом Федеральной налоговой службы от 30 ноября </w:t>
            </w:r>
            <w:r/>
          </w:p>
          <w:p>
            <w:pPr>
              <w:pStyle w:val="812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года № ЕД-7-8/1128@ «Об утверждении формы справки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нта и формата ее представления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электронной форме»,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 по КНД 1160082, по состоянию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дату формирования, но не ранее 14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четырнадцати) календарных дней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даты подачи заявки на участие в отборе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чел./час;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12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ж) справка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форме согласно приложен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ию № 3 к Порядку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0,1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чел./час;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з) выписка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реестра акционеров акционерного общества (в случае если участник отбора – юридическое лицо 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вляется акционерным обществом)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состоянию на первое число месяца, в котором подается заявка на участие </w:t>
            </w:r>
            <w:r/>
          </w:p>
          <w:p>
            <w:pPr>
              <w:pStyle w:val="8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отборе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чел./час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/>
          </w:p>
          <w:p>
            <w:pPr>
              <w:pStyle w:val="8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и) обязательство участника отбора,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форме согласно приложению № 4 к Порядку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чел./час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к) выписка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Единого реестра субъектов малого и среднего предпринимательства на дату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дачи заявки на участие в отборе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чел./час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/>
          </w:p>
          <w:p>
            <w:pPr>
              <w:pStyle w:val="8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л) согласие на публикацию (размещение) в сети Интернет информац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участнике отбора, о подаваем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заявке на участие в отборе,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иной информации об участнике отбора, связанной с отбором, а также согласие на обработку персональных данных (для физического лица) по форме согласно приложению № 5 к Порядку- 0,1 чел./час;</w:t>
            </w:r>
            <w:r/>
          </w:p>
          <w:p>
            <w:pPr>
              <w:pStyle w:val="8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м) согласие участника отбора на осуществление Министерством проверки соблюдения получателями грантов порядка и условий предоставления грантов, в том числе в части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достижения результатов предоставления грантов, а также проверки органами государственного финансового контроля Белгородской области в соответствии со статьями 268.1 и 269.2 Бюджетного кодекса Российской Федерации по форме согласно приложению № 6 к Порядку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чел./час.;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н) обязательство по форме 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гласно приложению № 7 к Порядку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чел./час.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12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Подача пакет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документов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министерство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экономического развития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 промышленности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Белгородской области –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0,4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чел./часов.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12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Итого трудозатрат –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чел./часов.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5245" w:type="dxa"/>
            <w:vAlign w:val="top"/>
            <w:textDirection w:val="lrTb"/>
            <w:noWrap w:val="false"/>
          </w:tcPr>
          <w:p>
            <w:pPr>
              <w:pStyle w:val="812"/>
              <w:spacing w:after="0" w:line="240" w:lineRule="auto"/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Общая стоимость требования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r>
            <w:r/>
          </w:p>
        </w:tc>
        <w:tc>
          <w:tcPr>
            <w:tcW w:w="5245" w:type="dxa"/>
            <w:vAlign w:val="top"/>
            <w:textDirection w:val="lrTb"/>
            <w:noWrap w:val="false"/>
          </w:tcPr>
          <w:p>
            <w:pPr>
              <w:pStyle w:val="812"/>
              <w:spacing w:after="0" w:line="240" w:lineRule="auto"/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тоимость требования: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0,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7 тыс. руб. на 1 субъекта МСП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r>
            <w:r/>
          </w:p>
        </w:tc>
      </w:tr>
      <w:tr>
        <w:trPr/>
        <w:tc>
          <w:tcPr>
            <w:tcW w:w="5245" w:type="dxa"/>
            <w:vAlign w:val="top"/>
            <w:textDirection w:val="lrTb"/>
            <w:noWrap w:val="false"/>
          </w:tcPr>
          <w:p>
            <w:pPr>
              <w:pStyle w:val="812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Общий объем выгод от вводимого правового регулирования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(для субъектов МСП)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</w:tc>
        <w:tc>
          <w:tcPr>
            <w:tcW w:w="5245" w:type="dxa"/>
            <w:vAlign w:val="top"/>
            <w:textDirection w:val="lrTb"/>
            <w:noWrap w:val="false"/>
          </w:tcPr>
          <w:p>
            <w:pPr>
              <w:pStyle w:val="812"/>
              <w:spacing w:after="0" w:line="240" w:lineRule="auto"/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 до 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65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 тыс. руб. на 1 субъекта МСП)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r>
            <w:r/>
          </w:p>
        </w:tc>
      </w:tr>
      <w:tr>
        <w:trPr/>
        <w:tc>
          <w:tcPr>
            <w:gridSpan w:val="2"/>
            <w:tcW w:w="10490" w:type="dxa"/>
            <w:vAlign w:val="top"/>
            <w:textDirection w:val="lrTb"/>
            <w:noWrap w:val="false"/>
          </w:tcPr>
          <w:p>
            <w:pPr>
              <w:pStyle w:val="812"/>
              <w:spacing w:after="0" w:line="240" w:lineRule="auto"/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Общая сумма экономии после принятия НПА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</w:r>
            <w:r/>
          </w:p>
        </w:tc>
      </w:tr>
    </w:tbl>
    <w:p>
      <w:pPr>
        <w:pStyle w:val="812"/>
        <w:jc w:val="both"/>
        <w:spacing w:after="0" w:line="240" w:lineRule="auto"/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Средства на реализацию мероприятия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по предоставлению грантов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в 2024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году в объеме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10 000,0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тыс.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рублей предусмотрены законом Белгородской области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«Об областном бюджете на 2024 год и на плановый период 2025 и 2026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годов».</w:t>
      </w:r>
      <w:r/>
    </w:p>
    <w:sectPr>
      <w:footnotePr/>
      <w:endnotePr/>
      <w:type w:val="nextPage"/>
      <w:pgSz w:w="11906" w:h="16838" w:orient="portrait"/>
      <w:pgMar w:top="567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next w:val="812"/>
    <w:link w:val="81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13">
    <w:name w:val="Основной шрифт абзаца"/>
    <w:next w:val="813"/>
    <w:link w:val="812"/>
    <w:uiPriority w:val="1"/>
    <w:semiHidden/>
    <w:unhideWhenUsed/>
  </w:style>
  <w:style w:type="table" w:styleId="814">
    <w:name w:val="Обычная таблица"/>
    <w:next w:val="814"/>
    <w:link w:val="812"/>
    <w:uiPriority w:val="99"/>
    <w:semiHidden/>
    <w:unhideWhenUsed/>
    <w:tblPr/>
  </w:style>
  <w:style w:type="numbering" w:styleId="815">
    <w:name w:val="Нет списка"/>
    <w:next w:val="815"/>
    <w:link w:val="812"/>
    <w:uiPriority w:val="99"/>
    <w:semiHidden/>
    <w:unhideWhenUsed/>
  </w:style>
  <w:style w:type="paragraph" w:styleId="816">
    <w:name w:val="Обычный (веб)"/>
    <w:basedOn w:val="812"/>
    <w:next w:val="816"/>
    <w:link w:val="81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7">
    <w:name w:val="ConsPlusNormal"/>
    <w:next w:val="817"/>
    <w:link w:val="818"/>
    <w:qFormat/>
    <w:pPr>
      <w:widowControl w:val="off"/>
    </w:pPr>
    <w:rPr>
      <w:rFonts w:eastAsia="Times New Roman"/>
      <w:sz w:val="22"/>
      <w:lang w:val="ru-RU" w:eastAsia="ru-RU" w:bidi="ar-SA"/>
    </w:rPr>
  </w:style>
  <w:style w:type="character" w:styleId="818">
    <w:name w:val="ConsPlusNormal Знак"/>
    <w:next w:val="818"/>
    <w:link w:val="817"/>
    <w:uiPriority w:val="99"/>
    <w:rPr>
      <w:rFonts w:ascii="Calibri" w:hAnsi="Calibri" w:eastAsia="Times New Roman" w:cs="Times New Roman"/>
      <w:szCs w:val="20"/>
      <w:lang w:eastAsia="ru-RU"/>
    </w:rPr>
  </w:style>
  <w:style w:type="paragraph" w:styleId="819">
    <w:name w:val="Текст выноски"/>
    <w:basedOn w:val="812"/>
    <w:next w:val="819"/>
    <w:link w:val="82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20">
    <w:name w:val="Текст выноски Знак"/>
    <w:next w:val="820"/>
    <w:link w:val="819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21" w:default="1">
    <w:name w:val="Default Paragraph Font"/>
    <w:uiPriority w:val="1"/>
    <w:semiHidden/>
    <w:unhideWhenUsed/>
  </w:style>
  <w:style w:type="numbering" w:styleId="822" w:default="1">
    <w:name w:val="No List"/>
    <w:uiPriority w:val="99"/>
    <w:semiHidden/>
    <w:unhideWhenUsed/>
  </w:style>
  <w:style w:type="table" w:styleId="8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revision>15</cp:revision>
  <dcterms:created xsi:type="dcterms:W3CDTF">2022-01-24T09:00:00Z</dcterms:created>
  <dcterms:modified xsi:type="dcterms:W3CDTF">2023-12-21T13:06:48Z</dcterms:modified>
  <cp:version>917504</cp:version>
</cp:coreProperties>
</file>