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</w:t>
        <w:br w:type="textWrapping" w:clear="all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грантов в форме субсидий на поддержку реализации общественных </w:t>
        <w:br w:type="textWrapping" w:clear="all"/>
        <w:t xml:space="preserve">инициатив, направленных на развитие туристской инфраструктуры»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роект постановления Правительства 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Белгородской 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области 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грантов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форме субсидий на поддержку реализации общественных инициатив, направленных на развитие туристской инфраструктуры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Проект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Субсидия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разработан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рамках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1_733"/>
          <w:rFonts w:ascii="Times New Roman" w:hAnsi="Times New Roman" w:cs="Times New Roman"/>
          <w:sz w:val="28"/>
          <w:szCs w:val="28"/>
        </w:rPr>
        <w:t xml:space="preserve">регионального проекта «Создание номерного фонда, инфраструктуры и новых точек притяжения»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государственной программы Белгородской области «Развитие экономического потенциала и формирование благоприятного предпринимательского климата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Белгородской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утвержденной постановлением Правительства Белгородской области от 25 декабря 2023 года № 750-пп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Белгородской области» (далее – государственная программа Белгородской области) 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Соглашением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ходящего в состав национального проекта, «Региональный проект «Создание номерного фонда, инфраструктуры и новых точек притяжения» (Белгородская область)» на территории Белгородской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4 декабря 2024 года № 139-2024-П1005-1,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заключенным между Правительством Белгородской области и Министерством экономического развития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Соглашением о предоставлении единой субсидии из федерального бюджета бюджету субъекта Российской Федерации от 17 декабря 2024 года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139-09-2025-137, заключенным между Правительством Белгородской области и Министерством экономического развития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 утверждает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ся</w:t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\l "P31"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из областного бюджета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грантов в форме субсидий на поддержку реализации общественных инициатив, направленных на развитие туристской инфраструктуры, на конкурсной основе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юридическим лицам (за исключением некоммерческих организаций, являющихся государственными (муниципальными) учреждениями) 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(или) индивидуальным предпринимателям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202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следующим направлениям: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и (или) развитие пляжей на берегах рек, озер, водохранилищ или иных водных объектов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и (или) развитие национальных туристских маршрутов, определенных в соответствии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"consultantplus://offline/ref=92006FFAEE161C5640293E4722EDB37ECEEF505CEF7551BBBC6E8E41329ADE479B60D10EF6DD62B7C208B6C4CF143375A8AF482ADAFF889Bh6MFL"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Правилами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определения национальных туристских маршрутов, утвержденными постановлением Правительства Российской Федерации от 29 ноября 2021 года № 2086 «Об утверждении Правил определения национальных туристских маршрутов»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инфраструктуры туризма в рамках проектов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создание или приобретение, установка объектов кемпинг-размещения, </w:t>
      </w:r>
      <w:r>
        <w:rPr>
          <w:rFonts w:ascii="Times New Roman" w:hAnsi="Times New Roman" w:cs="Times New Roman"/>
          <w:sz w:val="28"/>
          <w:szCs w:val="28"/>
        </w:rPr>
        <w:t xml:space="preserve">кемпстоянок</w:t>
      </w:r>
      <w:r>
        <w:rPr>
          <w:rFonts w:ascii="Times New Roman" w:hAnsi="Times New Roman" w:cs="Times New Roman"/>
          <w:sz w:val="28"/>
          <w:szCs w:val="28"/>
        </w:rPr>
        <w:t xml:space="preserve">, навесных конструкций для транспортных средств,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приобретение кемпинговых палаток и других видов оборудования, используемо</w:t>
      </w:r>
      <w:r>
        <w:rPr>
          <w:rFonts w:ascii="Times New Roman" w:hAnsi="Times New Roman" w:cs="Times New Roman"/>
          <w:sz w:val="28"/>
          <w:szCs w:val="28"/>
        </w:rPr>
        <w:t xml:space="preserve">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навигации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некапитальной нестационарной причальной инфраструктуры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Общий объем бюджетных ассигнований,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предусмотре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областном бюджете в рамках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области», утвержденной постановлением Правительства Белгородской области 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года </w:t>
        <w:br w:type="textWrapping" w:clear="all"/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750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 xml:space="preserve">54 460,0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6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Принятие данного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роекта не потребует выделения дополнительных финансовых средств из областного бюджета.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851" w:left="1701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CJK SC">
    <w:panose1 w:val="020B0502040504020204"/>
  </w:font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Lohit Devanagari">
    <w:panose1 w:val="02000603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jc w:val="center"/>
      <w:spacing w:after="0" w:line="240" w:lineRule="auto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4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23"/>
    <w:next w:val="62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23"/>
    <w:next w:val="623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23"/>
    <w:next w:val="62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23"/>
    <w:next w:val="62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23"/>
    <w:next w:val="62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23"/>
    <w:next w:val="62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23"/>
    <w:next w:val="62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23"/>
    <w:next w:val="62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23"/>
    <w:next w:val="62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23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23"/>
    <w:next w:val="62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23"/>
    <w:next w:val="62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23"/>
    <w:next w:val="62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23"/>
    <w:next w:val="62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2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2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2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2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next w:val="623"/>
    <w:link w:val="623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zh-CN" w:bidi="ar-SA"/>
    </w:rPr>
  </w:style>
  <w:style w:type="paragraph" w:styleId="624">
    <w:name w:val="Заголовок 1"/>
    <w:basedOn w:val="623"/>
    <w:next w:val="623"/>
    <w:link w:val="623"/>
    <w:qFormat/>
    <w:pPr>
      <w:numPr>
        <w:ilvl w:val="0"/>
        <w:numId w:val="1"/>
      </w:num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625">
    <w:name w:val="Основной шрифт абзаца"/>
    <w:next w:val="625"/>
    <w:link w:val="623"/>
    <w:uiPriority w:val="1"/>
    <w:unhideWhenUsed/>
  </w:style>
  <w:style w:type="table" w:styleId="626">
    <w:name w:val="Обычная таблица"/>
    <w:next w:val="626"/>
    <w:link w:val="623"/>
    <w:uiPriority w:val="99"/>
    <w:semiHidden/>
    <w:unhideWhenUsed/>
    <w:tblPr/>
  </w:style>
  <w:style w:type="numbering" w:styleId="627">
    <w:name w:val="Нет списка"/>
    <w:next w:val="627"/>
    <w:link w:val="623"/>
    <w:uiPriority w:val="99"/>
    <w:semiHidden/>
    <w:unhideWhenUsed/>
  </w:style>
  <w:style w:type="character" w:styleId="628">
    <w:name w:val="WW8Num1z0"/>
    <w:next w:val="628"/>
    <w:link w:val="623"/>
  </w:style>
  <w:style w:type="character" w:styleId="629">
    <w:name w:val="WW8Num1z1"/>
    <w:next w:val="629"/>
    <w:link w:val="623"/>
  </w:style>
  <w:style w:type="character" w:styleId="630">
    <w:name w:val="WW8Num1z2"/>
    <w:next w:val="630"/>
    <w:link w:val="623"/>
  </w:style>
  <w:style w:type="character" w:styleId="631">
    <w:name w:val="WW8Num1z3"/>
    <w:next w:val="631"/>
    <w:link w:val="623"/>
  </w:style>
  <w:style w:type="character" w:styleId="632">
    <w:name w:val="WW8Num1z4"/>
    <w:next w:val="632"/>
    <w:link w:val="623"/>
  </w:style>
  <w:style w:type="character" w:styleId="633">
    <w:name w:val="WW8Num1z5"/>
    <w:next w:val="633"/>
    <w:link w:val="623"/>
  </w:style>
  <w:style w:type="character" w:styleId="634">
    <w:name w:val="WW8Num1z6"/>
    <w:next w:val="634"/>
    <w:link w:val="623"/>
  </w:style>
  <w:style w:type="character" w:styleId="635">
    <w:name w:val="WW8Num1z7"/>
    <w:next w:val="635"/>
    <w:link w:val="623"/>
  </w:style>
  <w:style w:type="character" w:styleId="636">
    <w:name w:val="WW8Num1z8"/>
    <w:next w:val="636"/>
    <w:link w:val="623"/>
  </w:style>
  <w:style w:type="character" w:styleId="637">
    <w:name w:val="WW8Num2z0"/>
    <w:next w:val="637"/>
    <w:link w:val="623"/>
    <w:rPr>
      <w:rFonts w:ascii="Symbol" w:hAnsi="Symbol" w:cs="Symbol"/>
      <w:sz w:val="20"/>
    </w:rPr>
  </w:style>
  <w:style w:type="character" w:styleId="638">
    <w:name w:val="WW8Num2z1"/>
    <w:next w:val="638"/>
    <w:link w:val="623"/>
    <w:rPr>
      <w:rFonts w:ascii="Courier New" w:hAnsi="Courier New" w:cs="Courier New"/>
      <w:sz w:val="20"/>
    </w:rPr>
  </w:style>
  <w:style w:type="character" w:styleId="639">
    <w:name w:val="WW8Num2z2"/>
    <w:next w:val="639"/>
    <w:link w:val="623"/>
    <w:rPr>
      <w:rFonts w:ascii="Wingdings" w:hAnsi="Wingdings" w:cs="Wingdings"/>
      <w:sz w:val="20"/>
    </w:rPr>
  </w:style>
  <w:style w:type="character" w:styleId="640">
    <w:name w:val="WW8Num3z0"/>
    <w:next w:val="640"/>
    <w:link w:val="623"/>
    <w:rPr>
      <w:rFonts w:ascii="Symbol" w:hAnsi="Symbol" w:cs="Symbol"/>
      <w:sz w:val="20"/>
    </w:rPr>
  </w:style>
  <w:style w:type="character" w:styleId="641">
    <w:name w:val="WW8Num3z1"/>
    <w:next w:val="641"/>
    <w:link w:val="623"/>
    <w:rPr>
      <w:rFonts w:ascii="Courier New" w:hAnsi="Courier New" w:cs="Courier New"/>
      <w:sz w:val="20"/>
    </w:rPr>
  </w:style>
  <w:style w:type="character" w:styleId="642">
    <w:name w:val="WW8Num3z2"/>
    <w:next w:val="642"/>
    <w:link w:val="623"/>
    <w:rPr>
      <w:rFonts w:ascii="Wingdings" w:hAnsi="Wingdings" w:cs="Wingdings"/>
      <w:sz w:val="20"/>
    </w:rPr>
  </w:style>
  <w:style w:type="character" w:styleId="643">
    <w:name w:val="WW8Num4z0"/>
    <w:next w:val="643"/>
    <w:link w:val="623"/>
    <w:rPr>
      <w:rFonts w:ascii="Symbol" w:hAnsi="Symbol" w:cs="Symbol"/>
      <w:sz w:val="20"/>
    </w:rPr>
  </w:style>
  <w:style w:type="character" w:styleId="644">
    <w:name w:val="WW8Num4z1"/>
    <w:next w:val="644"/>
    <w:link w:val="623"/>
    <w:rPr>
      <w:rFonts w:ascii="Courier New" w:hAnsi="Courier New" w:cs="Courier New"/>
      <w:sz w:val="20"/>
    </w:rPr>
  </w:style>
  <w:style w:type="character" w:styleId="645">
    <w:name w:val="WW8Num4z2"/>
    <w:next w:val="645"/>
    <w:link w:val="623"/>
    <w:rPr>
      <w:rFonts w:ascii="Wingdings" w:hAnsi="Wingdings" w:cs="Wingdings"/>
      <w:sz w:val="20"/>
    </w:rPr>
  </w:style>
  <w:style w:type="character" w:styleId="646">
    <w:name w:val="Основной шрифт абзаца1"/>
    <w:next w:val="646"/>
    <w:link w:val="623"/>
  </w:style>
  <w:style w:type="character" w:styleId="647">
    <w:name w:val="Заголовок 1 Знак"/>
    <w:next w:val="647"/>
    <w:link w:val="623"/>
    <w:rPr>
      <w:rFonts w:ascii="Cambria" w:hAnsi="Cambria" w:eastAsia="Times New Roman" w:cs="Times New Roman"/>
      <w:b/>
      <w:bCs/>
      <w:sz w:val="32"/>
      <w:szCs w:val="32"/>
    </w:rPr>
  </w:style>
  <w:style w:type="character" w:styleId="648">
    <w:name w:val="Верхний колонтитул Знак"/>
    <w:next w:val="648"/>
    <w:link w:val="623"/>
    <w:rPr>
      <w:sz w:val="22"/>
      <w:szCs w:val="22"/>
    </w:rPr>
  </w:style>
  <w:style w:type="character" w:styleId="649">
    <w:name w:val="Нижний колонтитул Знак"/>
    <w:next w:val="649"/>
    <w:link w:val="623"/>
    <w:rPr>
      <w:sz w:val="22"/>
      <w:szCs w:val="22"/>
    </w:rPr>
  </w:style>
  <w:style w:type="character" w:styleId="650">
    <w:name w:val="Текст выноски Знак"/>
    <w:next w:val="650"/>
    <w:link w:val="623"/>
    <w:rPr>
      <w:rFonts w:ascii="Segoe UI" w:hAnsi="Segoe UI" w:cs="Segoe UI"/>
      <w:sz w:val="18"/>
      <w:szCs w:val="18"/>
    </w:rPr>
  </w:style>
  <w:style w:type="paragraph" w:styleId="651">
    <w:name w:val="Заголовок"/>
    <w:basedOn w:val="623"/>
    <w:next w:val="652"/>
    <w:link w:val="623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652">
    <w:name w:val="Основной текст"/>
    <w:basedOn w:val="623"/>
    <w:next w:val="652"/>
    <w:link w:val="623"/>
    <w:pPr>
      <w:spacing w:before="0" w:after="140" w:line="276" w:lineRule="auto"/>
    </w:pPr>
  </w:style>
  <w:style w:type="paragraph" w:styleId="653">
    <w:name w:val="Список"/>
    <w:basedOn w:val="652"/>
    <w:next w:val="653"/>
    <w:link w:val="623"/>
    <w:rPr>
      <w:rFonts w:cs="Lohit Devanagari"/>
    </w:rPr>
  </w:style>
  <w:style w:type="paragraph" w:styleId="654">
    <w:name w:val="Название объекта"/>
    <w:basedOn w:val="623"/>
    <w:next w:val="654"/>
    <w:link w:val="623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55">
    <w:name w:val="Указатель1"/>
    <w:basedOn w:val="623"/>
    <w:next w:val="655"/>
    <w:link w:val="623"/>
    <w:pPr>
      <w:suppressLineNumbers/>
    </w:pPr>
    <w:rPr>
      <w:rFonts w:cs="Lohit Devanagari"/>
    </w:rPr>
  </w:style>
  <w:style w:type="paragraph" w:styleId="656">
    <w:name w:val="Обычный (веб)"/>
    <w:basedOn w:val="623"/>
    <w:next w:val="656"/>
    <w:link w:val="623"/>
    <w:rPr>
      <w:rFonts w:ascii="Times New Roman" w:hAnsi="Times New Roman" w:cs="Times New Roman"/>
      <w:sz w:val="24"/>
      <w:szCs w:val="24"/>
    </w:rPr>
  </w:style>
  <w:style w:type="paragraph" w:styleId="657">
    <w:name w:val="Верхний и нижний колонтитулы"/>
    <w:basedOn w:val="623"/>
    <w:next w:val="657"/>
    <w:link w:val="623"/>
    <w:pPr>
      <w:tabs>
        <w:tab w:val="center" w:pos="4819" w:leader="none"/>
        <w:tab w:val="right" w:pos="9638" w:leader="none"/>
      </w:tabs>
      <w:suppressLineNumbers/>
    </w:pPr>
  </w:style>
  <w:style w:type="paragraph" w:styleId="658">
    <w:name w:val="Верхний колонтитул"/>
    <w:basedOn w:val="623"/>
    <w:next w:val="658"/>
    <w:link w:val="623"/>
    <w:pPr>
      <w:tabs>
        <w:tab w:val="center" w:pos="4677" w:leader="none"/>
        <w:tab w:val="right" w:pos="9355" w:leader="none"/>
      </w:tabs>
    </w:pPr>
  </w:style>
  <w:style w:type="paragraph" w:styleId="659">
    <w:name w:val="Нижний колонтитул"/>
    <w:basedOn w:val="623"/>
    <w:next w:val="659"/>
    <w:link w:val="623"/>
    <w:pPr>
      <w:tabs>
        <w:tab w:val="center" w:pos="4677" w:leader="none"/>
        <w:tab w:val="right" w:pos="9355" w:leader="none"/>
      </w:tabs>
    </w:pPr>
  </w:style>
  <w:style w:type="paragraph" w:styleId="660">
    <w:name w:val="Текст выноски"/>
    <w:basedOn w:val="623"/>
    <w:next w:val="660"/>
    <w:link w:val="62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61">
    <w:name w:val="Содержимое таблицы"/>
    <w:basedOn w:val="623"/>
    <w:next w:val="661"/>
    <w:link w:val="623"/>
    <w:pPr>
      <w:suppressLineNumbers/>
    </w:pPr>
  </w:style>
  <w:style w:type="paragraph" w:styleId="662">
    <w:name w:val="Заголовок таблицы"/>
    <w:basedOn w:val="661"/>
    <w:next w:val="662"/>
    <w:link w:val="623"/>
    <w:pPr>
      <w:jc w:val="center"/>
      <w:suppressLineNumbers/>
    </w:pPr>
    <w:rPr>
      <w:b/>
      <w:bCs/>
    </w:rPr>
  </w:style>
  <w:style w:type="character" w:styleId="663">
    <w:name w:val="Гиперссылка"/>
    <w:next w:val="663"/>
    <w:link w:val="623"/>
    <w:uiPriority w:val="99"/>
    <w:unhideWhenUsed/>
    <w:rPr>
      <w:color w:val="0563c1"/>
      <w:u w:val="single"/>
    </w:rPr>
  </w:style>
  <w:style w:type="character" w:styleId="826" w:default="1">
    <w:name w:val="Default Paragraph Font"/>
    <w:uiPriority w:val="1"/>
    <w:semiHidden/>
    <w:unhideWhenUsed/>
  </w:style>
  <w:style w:type="numbering" w:styleId="827" w:default="1">
    <w:name w:val="No List"/>
    <w:uiPriority w:val="99"/>
    <w:semiHidden/>
    <w:unhideWhenUsed/>
  </w:style>
  <w:style w:type="table" w:styleId="828" w:default="1">
    <w:name w:val="Normal Table"/>
    <w:uiPriority w:val="99"/>
    <w:semiHidden/>
    <w:unhideWhenUsed/>
    <w:tblPr/>
  </w:style>
  <w:style w:type="character" w:styleId="1_733" w:customStyle="1">
    <w:name w:val="Без интервала Знак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ХудРук</dc:creator>
  <cp:revision>3</cp:revision>
  <dcterms:created xsi:type="dcterms:W3CDTF">2024-06-04T09:14:00Z</dcterms:created>
  <dcterms:modified xsi:type="dcterms:W3CDTF">2025-06-16T12:25:24Z</dcterms:modified>
  <cp:version>1048576</cp:version>
</cp:coreProperties>
</file>