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eastAsia="ru-RU"/>
        </w:rPr>
        <w:t xml:space="preserve">Д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6"/>
          <w:szCs w:val="26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20 июня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2022 года № 363-пп»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начало: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«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06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»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февраля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6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 г.;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окончание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«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19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» февраля 202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6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cредняя.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Проектом нормативно-правового акта вносятся изменения в общие положения Порядка, а также в порядок проведения отбора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. Предусматривается субсидия сельско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хозяйственным товаропроизводителям на возмещение части затрат, связанных с приобретением имущества и выполнением работ (услуг) с целью развития сельского туризма в соответствии с перечнем, определяемым Министерством сельского хозяйства Российской Федерации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Ф.И.О.: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Фисенко Людмила Владимировна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Должность: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консультант отдела развития потребкооперации и мониторинга показателей малых форм хозяйствования департамента устойчивого развития сельских территорий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Тел.: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(4722) 24-76-55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Адрес электронной почты: </w:t>
      </w:r>
      <w:bookmarkStart w:id="1" w:name="_Hlk187918413"/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en-US" w:eastAsia="ru-RU"/>
        </w:rPr>
        <w:t xml:space="preserve">fisenko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en-US" w:eastAsia="ru-RU"/>
        </w:rPr>
        <w:t xml:space="preserve">lv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en-US" w:eastAsia="ru-RU"/>
        </w:rPr>
        <w:t xml:space="preserve">belreg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en-US" w:eastAsia="ru-RU"/>
        </w:rPr>
        <w:t xml:space="preserve">ion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en-US" w:eastAsia="ru-RU"/>
        </w:rPr>
        <w:t xml:space="preserve">ru</w:t>
      </w:r>
      <w:bookmarkEnd w:id="1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2.1. 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Проблема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- Невозможность проведения конкурсного отбора на предоставление грантов «Агротуризм» в форме субсидии без утвержденного регионального нормативно-правового акта, регламентирующего порядок предоставления из областного бюджета средств на данное направление.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- Невозможность проведения отбора на предоставление субсидии сельскохозяйственным товаропроизводителям на возмещение части зат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рат, связанных с приобретением имущества и выполнением работ (услуг) с целью развития сельского туризма без утвержденного регионального нормативно-правового акта, регламентирующего порядок предоставления из областного бюджета средств на данное направление.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Мониторинг федерального законодательства, а также антикризисных мер в сельскохозяйственном секторе региона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/>
      <w:bookmarkStart w:id="2" w:name="_Hlk169776585"/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-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Невозможность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получения Федерального финансирования без внесения изменений в региональное законодательство;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- невозможность проведения конкурсных мероприятий, отсутствие альтернативных безвозмездных методов поддержки сельскохозяйственных товаропроизводителей в современных условиях.</w:t>
      </w:r>
      <w:bookmarkEnd w:id="2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Анализ показал,</w:t>
      </w:r>
      <w:r>
        <w:rPr>
          <w:i/>
          <w:iCs/>
          <w:sz w:val="26"/>
          <w:szCs w:val="26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что</w:t>
      </w:r>
      <w:r>
        <w:rPr>
          <w:i/>
          <w:iCs/>
          <w:sz w:val="26"/>
          <w:szCs w:val="26"/>
          <w:highlight w:val="none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органами исполнительной власт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и всех субъектов Российской Федерации ведутся работы по принятию аналогичных изменений в нормативные правовые акты, предусматривающие изменение действующих положений и порядков предоставления государственной поддержки сельхозтоваропроизводителям на развити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е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сельского туризма.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Создание оптимальных условий для получения и освоения государственной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поддержки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по предоставлению гранта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«Агротуризм»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в форме субсидии, а также субсидии на возмещение части затрат, связанных с приобретением имущества и выполнением работ (услуг) с целью развития сельского туризма.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- проект нормативного правового акта разработан в соответствии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с </w:t>
      </w:r>
      <w:bookmarkStart w:id="3" w:name="_Hlk121218295"/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постановлениями Правительства Российской Федерации от </w:t>
      </w:r>
      <w:bookmarkEnd w:id="3"/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3.3. Сроки достижения целей предлагаемого правового регулирования: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декабрь 202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6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отсутствует</w:t>
      </w:r>
      <w:r>
        <w:rPr>
          <w:rFonts w:ascii="Times New Roman" w:hAnsi="Times New Roman" w:eastAsia="Calibri" w:cs="Times New Roman"/>
          <w:sz w:val="26"/>
          <w:szCs w:val="26"/>
          <w:highlight w:val="none"/>
          <w:u w:val="single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-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</w:rPr>
        <w:t xml:space="preserve">Проектом нормативно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го</w:t>
      </w:r>
      <w:r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</w:rPr>
        <w:t xml:space="preserve">правового акта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утверждается</w:t>
      </w:r>
      <w:r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- порядок предоставления субсидии </w:t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t xml:space="preserve">на возмещение части затрат, </w:t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br/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t xml:space="preserve">связанных с приобретением имущества и выполнением работ (услуг)</w:t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br/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t xml:space="preserve">с целью развития сельского туризма;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t xml:space="preserve">- в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носятся изменения в порядок предоставления грантов «Агротуризм», в части: </w:t>
      </w:r>
      <w:r/>
    </w:p>
    <w:p>
      <w:pPr>
        <w:ind w:left="0" w:right="0" w:firstLine="709"/>
        <w:jc w:val="both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- предусмотрена возможность одновременного получения гранта «Агротуризм» и субсидии на возмещение части затрат, связанных с приобретением имущества и выполнением работ (услуг) с целью развития сельского туризма;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bCs w:val="0"/>
          <w:i/>
          <w:iCs/>
          <w:sz w:val="26"/>
          <w:szCs w:val="26"/>
          <w:u w:val="singl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-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 xml:space="preserve">увеличен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срок освоения средств гранта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val="ru-RU"/>
        </w:rPr>
        <w:t xml:space="preserve">«Агротуризм»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(с 18 до 30 месяцев)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;</w:t>
      </w:r>
      <w:r>
        <w:rPr>
          <w:rFonts w:ascii="Times New Roman" w:hAnsi="Times New Roman" w:cs="Times New Roman"/>
          <w:bCs w:val="0"/>
          <w:i/>
          <w:iCs/>
          <w:sz w:val="26"/>
          <w:szCs w:val="26"/>
          <w:u w:val="singl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- расширен перечень дополнительных требований к заявителю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 w:val="0"/>
          <w:i/>
          <w:iCs/>
          <w:sz w:val="26"/>
          <w:szCs w:val="26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(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val="ru-RU"/>
        </w:rPr>
        <w:t xml:space="preserve">обеспечение транспортной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val="ru-RU"/>
        </w:rPr>
        <w:t xml:space="preserve"> доступности земельного участка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val="ru-RU"/>
        </w:rPr>
        <w:t xml:space="preserve">на котором предполагается реализация проекта развития сельского туризма)</w:t>
      </w:r>
      <w:r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;</w:t>
      </w:r>
      <w:r>
        <w:rPr>
          <w:rFonts w:ascii="Times New Roman" w:hAnsi="Times New Roman" w:cs="Times New Roman"/>
          <w:bCs/>
          <w:i/>
          <w:sz w:val="26"/>
          <w:szCs w:val="26"/>
          <w:u w:val="single"/>
        </w:rPr>
      </w:r>
    </w:p>
    <w:p>
      <w:pPr>
        <w:ind w:left="0" w:right="0" w:firstLine="709"/>
        <w:jc w:val="both"/>
        <w:spacing w:after="0" w:line="216" w:lineRule="auto"/>
        <w:widowControl w:val="off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  <w:lang w:val="ru-RU"/>
        </w:rPr>
        <w:t xml:space="preserve">-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val="ru-RU"/>
        </w:rPr>
        <w:t xml:space="preserve">установлен с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рок приобретения, строительства, возведения (монтажа) модульного некапитального средства размещения за счет гранта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  <w:lang w:val="ru-RU"/>
        </w:rPr>
        <w:t xml:space="preserve">«Агротуризм»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(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не более 9 месяцев со дня получения гранта)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ind w:left="0" w:right="0" w:firstLine="709"/>
        <w:jc w:val="both"/>
        <w:spacing w:after="0" w:line="216" w:lineRule="auto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r>
    </w:p>
    <w:p>
      <w:pPr>
        <w:ind w:left="0" w:right="0" w:firstLine="709"/>
        <w:jc w:val="both"/>
        <w:spacing w:after="0" w:line="216" w:lineRule="auto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r>
    </w:p>
    <w:p>
      <w:pPr>
        <w:ind w:left="0" w:right="0" w:firstLine="709"/>
        <w:jc w:val="both"/>
        <w:spacing w:after="0" w:line="216" w:lineRule="auto"/>
        <w:widowControl w:val="off"/>
        <w:rPr>
          <w:rFonts w:ascii="Times New Roman" w:hAnsi="Times New Roman" w:cs="Times New Roman"/>
          <w:bCs/>
          <w:i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Развитие сельского туризма за счет собственных или заемных (кредитных) средств сельхозтоваропроизводителей: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При среднем размере гранта в сумме 5,0 млн. руб. в случае привлечения заемных средств в вышеуказанной сумме (под процентную ставку в размере 5% (в сфере АПК) на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30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месяцев (срок освоения гранта) переплата получателя составит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329,4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Очевидно, что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получение грантовой поддержки для сельскохозяйственных товаропроизводителей (за исключением личных подсобных хозяйств), относящимся к категории «малое предприятие» или «микропредприятие», является финансово более выгодным, чем привлечение заемных ресурсов.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Оптимальным способом решения проблемы считаем принятие постановления Правительства Белгородской области «О внесении изменений в постановление </w:t>
      </w:r>
      <w:bookmarkStart w:id="4" w:name="_GoBack"/>
      <w:r/>
      <w:bookmarkEnd w:id="4"/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Правительства Белгородской области от 20 июня 2022 года № 363-пп», вносящего изменения в порядок предоставления гранта «Агротуризм»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и утверждения порядка предоставление субсидии сельскохозяйственным товаропроизводителям на возмещение части затрат, связанных с приобретением имущества и выполнением работ (услуг) с целью развития сельского туризма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Утверждение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порядка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и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вн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есение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изменений позволит создать оптимальные условия сельхозтоваропроизводителям для более эффективного освоения представленной государственной поддержки.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Сельскохозяйственные товаропроизводители (за исключением личных подсобных хозяйств), относящиеся к категории «малое предприятие» или «микропредприятие», зарегистрированные 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6"/>
                <w:szCs w:val="26"/>
                <w:highlight w:val="none"/>
              </w:rPr>
              <w:t xml:space="preserve">и осуществляющий деятельность более 12 месяцев с даты регистрации на сельской территории или на территории сельской агломерации</w:t>
            </w:r>
            <w:r>
              <w:rPr>
                <w:rFonts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 Белгородской области, в том числе по реализации проектов агротуризма.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Не менее 4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572"/>
        <w:gridCol w:w="3540"/>
        <w:gridCol w:w="255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Сельскохозяйственные товароп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роизводители (за исключением личных подсобных хозяйств), относящиеся к категории «малое предприятие» или «микропредприятие», зарегистрированные и осуществляющие деятельность на сельской территории или на территории сельской агломерации Белгородской области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u w:val="single"/>
              </w:rPr>
              <w:t xml:space="preserve">Преимущества:</w:t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- возможность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участвовать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в конкурсном отборе на получение гранта «Агротуризм» и на получение субсидии на развитие сельского туризма одновременно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; </w:t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- возможность увеличения срока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освоения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средств гранта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. </w:t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        </w:t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u w:val="single"/>
              </w:rPr>
              <w:t xml:space="preserve">Обязанности:</w:t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- предоставление пакета документов, необходимых для участия в конкурсном отборе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r>
            <w:r>
              <w:rPr>
                <w:i/>
                <w:iCs/>
                <w:highlight w:val="yellow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highlight w:val="none"/>
              </w:rPr>
            </w:r>
            <w:r>
              <w:rPr>
                <w:i/>
                <w:iCs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Общая стоимость требования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по предоставлению пакета документов для получения гранта «Агротуризм»:</w:t>
            </w:r>
            <w:r>
              <w:rPr>
                <w:i/>
                <w:iCs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/>
                <w:i/>
                <w:iCs/>
                <w:sz w:val="26"/>
                <w:szCs w:val="26"/>
                <w:lang w:val="en-US" w:eastAsia="ru-RU"/>
              </w:rPr>
            </w:r>
            <w:r>
              <w:rPr>
                <w:rFonts w:hint="default" w:ascii="Times New Roman" w:hAnsi="Times New Roman" w:eastAsia="Times New Roman"/>
                <w:i/>
                <w:iCs/>
                <w:sz w:val="26"/>
                <w:szCs w:val="26"/>
                <w:lang w:val="en-US" w:eastAsia="ru-RU"/>
              </w:rPr>
              <w:t xml:space="preserve">15541,45</w:t>
            </w:r>
            <w:r>
              <w:rPr>
                <w:rFonts w:ascii="Times New Roman" w:hAnsi="Times New Roman" w:eastAsia="Times New Roman"/>
                <w:i/>
                <w:iCs/>
                <w:sz w:val="26"/>
                <w:szCs w:val="26"/>
                <w:lang w:eastAsia="ru-RU"/>
              </w:rPr>
              <w:t xml:space="preserve"> руб. </w:t>
            </w:r>
            <w:r>
              <w:rPr>
                <w:i/>
                <w:iCs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Общая стоимость требования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по предоставлению пакета документов для получения субсидии на развитие сельского туризма</w:t>
            </w:r>
            <w:r>
              <w:rPr>
                <w:i/>
                <w:iCs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/>
                <w:i/>
                <w:iCs/>
                <w:sz w:val="26"/>
                <w:szCs w:val="26"/>
                <w:lang w:val="en-US" w:eastAsia="ru-RU"/>
              </w:rPr>
            </w:r>
            <w:r>
              <w:rPr>
                <w:rFonts w:hint="default" w:ascii="Times New Roman" w:hAnsi="Times New Roman" w:eastAsia="Times New Roman"/>
                <w:i/>
                <w:iCs/>
                <w:sz w:val="26"/>
                <w:szCs w:val="26"/>
                <w:lang w:val="en-US" w:eastAsia="ru-RU"/>
              </w:rPr>
              <w:t xml:space="preserve">6646,</w:t>
            </w:r>
            <w:r>
              <w:rPr>
                <w:rFonts w:ascii="Times New Roman" w:hAnsi="Times New Roman" w:eastAsia="Times New Roman"/>
                <w:i/>
                <w:iCs/>
                <w:sz w:val="26"/>
                <w:szCs w:val="26"/>
                <w:lang w:eastAsia="ru-RU"/>
              </w:rPr>
              <w:t xml:space="preserve">66 руб.</w:t>
            </w:r>
            <w:r>
              <w:rPr>
                <w:i/>
                <w:iCs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ff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Предоставление гранта «Агротуризм»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 </w:t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П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u w:val="none"/>
                <w:lang w:val="ru-RU"/>
              </w:rPr>
              <w:t xml:space="preserve">редоставление субсидии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u w:val="none"/>
                <w:lang w:val="ru-RU"/>
              </w:rPr>
              <w:t xml:space="preserve">на возмещение части затрат, связанных с приобретением имущества и выполнением работ (услуг) с целью развития сельского туризма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Финансирование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на предоставление субсидии в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2026 году предусмотрено на общую сумму 24 364,705 тыс.руб. в том числе из федерального бюджета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br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16 568,0 тыс. руб. (68%) и 7 796,705 тыс. руб. (32%) из бюджета Белгородской области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eastAsia="ru-RU"/>
        </w:rPr>
        <w:t xml:space="preserve">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45"/>
        <w:tblpPr w:horzAnchor="margin" w:tblpXSpec="left" w:vertAnchor="text" w:tblpY="189" w:leftFromText="180" w:topFromText="0" w:rightFromText="180" w:bottomFromText="0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hint="default" w:ascii="Times New Roman" w:hAnsi="Times New Roman" w:eastAsia="Calibri" w:cs="Times New Roman"/>
                <w:b/>
                <w:i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Снижение или отсутствие количества заявок для участия в конкурсном отборе на получение гранта «Агротуризм»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 и субсидии на развитие сельского туризма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маловероятно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Проведение обучающих семинаров. Информирование населения о мерах поддержки, мониторинг потенциальных участников отбора, взаимодействие с муниципалитетами области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tbl>
      <w:tblPr>
        <w:tblStyle w:val="645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2381"/>
        <w:gridCol w:w="1276"/>
        <w:gridCol w:w="144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Объем финанси-рования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Источники финанси-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рования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3"/>
              <w:keepNext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Размещение информации о принятии постановления Правительства Белгородской области на официальном сайте ведомства 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en-US"/>
              </w:rPr>
              <w:t xml:space="preserve">belapk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Март-май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Увеличение численности поданных заявок и потенциальных претендентов на получение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гранта «Агротуризм»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 и субсидии на развитие сельского туризма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нет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pStyle w:val="833"/>
              <w:keepNext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Консультирование потенциальных заявителей (участников отбора)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Ежемесячно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Подача полного пакета документов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потенциальными претендентами на получение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гранта «Агротуризм»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 и субсидии на развитие сельского туризма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tbl>
      <w:tblPr>
        <w:tblStyle w:val="6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2127"/>
        <w:gridCol w:w="3260"/>
        <w:gridCol w:w="209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(не более 5 лет)</w:t>
            </w:r>
            <w:r/>
          </w:p>
        </w:tc>
      </w:tr>
      <w:tr>
        <w:trPr>
          <w:trHeight w:val="57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Реализация проектов развития сельского туризма в течении не менее 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  <w:t xml:space="preserve">Не менее 3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u w:val="single"/>
              </w:rPr>
              <w:t xml:space="preserve">1. Поквартальная форма отчетности в МСХ РФ 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  <w:t xml:space="preserve">(документ, содержащий информацию об использовании средств бюджетов субъектов РФ в целях софинансирования расходных обязательств которых предоставляются субсидии из Федерального бюджета бюджетам субъектов РФ на развитие сельского туризма);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u w:val="single"/>
              </w:rPr>
              <w:t xml:space="preserve">2. Полугодовая форма отчетности в МСХ РФ 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  <w:t xml:space="preserve">(отчет о финансово-экономическом состоянии товаропроизводителей агропромышленного комплекса)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  <w:t xml:space="preserve"> Ежегодно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  <w:t xml:space="preserve">(в течении 5 лет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  <w:t xml:space="preserve"> с момента предоставления гранта «Агротуризм»)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lang w:eastAsia="ru-RU"/>
              </w:rPr>
            </w:r>
            <w:r/>
          </w:p>
        </w:tc>
      </w:tr>
      <w:tr>
        <w:trPr>
          <w:trHeight w:val="57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Оказание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государственной поддержки в виде предоставления субсидии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u w:val="single"/>
                <w:lang w:val="ru-RU"/>
              </w:rPr>
              <w:t xml:space="preserve">на возмещение части затрат, связанных с приобретением имущества и выполнением работ (услуг) с целью развития сельского туризма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Не менее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highlight w:val="none"/>
                <w:u w:val="single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  <w:highlight w:val="none"/>
                <w:u w:val="single"/>
                <w:lang w:val="ru-RU"/>
              </w:rPr>
              <w:t xml:space="preserve">Оценка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highlight w:val="none"/>
                <w:u w:val="single"/>
                <w:lang w:val="ru-RU"/>
              </w:rPr>
              <w:t xml:space="preserve"> поступивших заявок от сельскохозяйственных товаропроизводителей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eastAsia="ru-RU"/>
              </w:rPr>
              <w:t xml:space="preserve">Ежегодно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en-US" w:eastAsia="ru-RU"/>
              </w:rPr>
              <w:t xml:space="preserve"> в конце года предоставления субсидии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8. Предполагаемая дата вступления в силу проекта нормативного правового акта: </w:t>
      </w:r>
      <w:r>
        <w:rPr>
          <w:rFonts w:hint="default" w:ascii="Times New Roman" w:hAnsi="Times New Roman" w:eastAsia="Calibri" w:cs="Times New Roman"/>
          <w:bCs/>
          <w:i/>
          <w:iCs/>
          <w:sz w:val="26"/>
          <w:szCs w:val="26"/>
          <w:highlight w:val="none"/>
          <w:lang w:val="ru-RU"/>
        </w:rPr>
        <w:t xml:space="preserve">1 квартал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</w:rPr>
        <w:t xml:space="preserve"> года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p>
      <w:pPr>
        <w:pStyle w:val="83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/>
    </w:p>
    <w:p>
      <w:pPr>
        <w:pStyle w:val="83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5">
    <w:name w:val="Heading 1"/>
    <w:basedOn w:val="634"/>
    <w:next w:val="634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basedOn w:val="644"/>
    <w:uiPriority w:val="99"/>
    <w:unhideWhenUsed/>
    <w:qFormat/>
    <w:rPr>
      <w:vertAlign w:val="superscript"/>
    </w:rPr>
  </w:style>
  <w:style w:type="character" w:styleId="647">
    <w:name w:val="endnote reference"/>
    <w:basedOn w:val="644"/>
    <w:uiPriority w:val="99"/>
    <w:semiHidden/>
    <w:unhideWhenUsed/>
    <w:qFormat/>
    <w:rPr>
      <w:vertAlign w:val="superscript"/>
    </w:rPr>
  </w:style>
  <w:style w:type="character" w:styleId="648">
    <w:name w:val="Hyperlink"/>
    <w:basedOn w:val="644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49">
    <w:name w:val="endnote text"/>
    <w:basedOn w:val="634"/>
    <w:link w:val="83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1">
    <w:name w:val="footnote text"/>
    <w:basedOn w:val="634"/>
    <w:link w:val="83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2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3">
    <w:name w:val="Header"/>
    <w:basedOn w:val="634"/>
    <w:link w:val="702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4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5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6">
    <w:name w:val="toc 1"/>
    <w:basedOn w:val="634"/>
    <w:next w:val="634"/>
    <w:uiPriority w:val="39"/>
    <w:unhideWhenUsed/>
    <w:qFormat/>
    <w:pPr>
      <w:spacing w:after="57"/>
    </w:pPr>
  </w:style>
  <w:style w:type="paragraph" w:styleId="657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58">
    <w:name w:val="table of figures"/>
    <w:basedOn w:val="634"/>
    <w:next w:val="634"/>
    <w:uiPriority w:val="99"/>
    <w:unhideWhenUsed/>
    <w:qFormat/>
    <w:pPr>
      <w:spacing w:after="0"/>
    </w:pPr>
  </w:style>
  <w:style w:type="paragraph" w:styleId="659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0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1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2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3">
    <w:name w:val="Title"/>
    <w:basedOn w:val="634"/>
    <w:next w:val="634"/>
    <w:link w:val="696"/>
    <w:uiPriority w:val="10"/>
    <w:qFormat/>
    <w:pPr>
      <w:contextualSpacing/>
      <w:spacing w:before="300"/>
    </w:pPr>
    <w:rPr>
      <w:sz w:val="48"/>
      <w:szCs w:val="48"/>
    </w:rPr>
  </w:style>
  <w:style w:type="paragraph" w:styleId="664">
    <w:name w:val="Footer"/>
    <w:basedOn w:val="634"/>
    <w:link w:val="70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Normal (Web)"/>
    <w:basedOn w:val="634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666">
    <w:name w:val="Subtitle"/>
    <w:basedOn w:val="634"/>
    <w:next w:val="634"/>
    <w:link w:val="697"/>
    <w:uiPriority w:val="11"/>
    <w:qFormat/>
    <w:pPr>
      <w:spacing w:before="200"/>
    </w:pPr>
    <w:rPr>
      <w:sz w:val="24"/>
      <w:szCs w:val="24"/>
    </w:rPr>
  </w:style>
  <w:style w:type="table" w:styleId="667">
    <w:name w:val="Table Grid"/>
    <w:basedOn w:val="64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8" w:customStyle="1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44"/>
    <w:uiPriority w:val="10"/>
    <w:qFormat/>
    <w:rPr>
      <w:sz w:val="48"/>
      <w:szCs w:val="48"/>
    </w:rPr>
  </w:style>
  <w:style w:type="character" w:styleId="678" w:customStyle="1">
    <w:name w:val="Subtitle Char"/>
    <w:basedOn w:val="644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basedOn w:val="644"/>
    <w:uiPriority w:val="99"/>
    <w:qFormat/>
  </w:style>
  <w:style w:type="character" w:styleId="682" w:customStyle="1">
    <w:name w:val="Caption Char"/>
    <w:uiPriority w:val="99"/>
    <w:qFormat/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basedOn w:val="644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44"/>
    <w:link w:val="636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44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44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44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44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44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44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44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3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6" w:customStyle="1">
    <w:name w:val="Заголовок Знак"/>
    <w:basedOn w:val="644"/>
    <w:link w:val="663"/>
    <w:uiPriority w:val="10"/>
    <w:qFormat/>
    <w:rPr>
      <w:sz w:val="48"/>
      <w:szCs w:val="48"/>
    </w:rPr>
  </w:style>
  <w:style w:type="character" w:styleId="697" w:customStyle="1">
    <w:name w:val="Подзаголовок Знак"/>
    <w:basedOn w:val="644"/>
    <w:link w:val="666"/>
    <w:uiPriority w:val="11"/>
    <w:qFormat/>
    <w:rPr>
      <w:sz w:val="24"/>
      <w:szCs w:val="24"/>
    </w:rPr>
  </w:style>
  <w:style w:type="paragraph" w:styleId="698">
    <w:name w:val="Quote"/>
    <w:basedOn w:val="634"/>
    <w:next w:val="63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qFormat/>
    <w:rPr>
      <w:i/>
    </w:rPr>
  </w:style>
  <w:style w:type="paragraph" w:styleId="700">
    <w:name w:val="Intense Quote"/>
    <w:basedOn w:val="634"/>
    <w:next w:val="63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qFormat/>
    <w:rPr>
      <w:i/>
    </w:rPr>
  </w:style>
  <w:style w:type="character" w:styleId="702" w:customStyle="1">
    <w:name w:val="Верхний колонтитул Знак"/>
    <w:basedOn w:val="644"/>
    <w:link w:val="653"/>
    <w:uiPriority w:val="99"/>
    <w:qFormat/>
  </w:style>
  <w:style w:type="character" w:styleId="703" w:customStyle="1">
    <w:name w:val="Footer Char"/>
    <w:basedOn w:val="644"/>
    <w:uiPriority w:val="99"/>
    <w:qFormat/>
  </w:style>
  <w:style w:type="character" w:styleId="704" w:customStyle="1">
    <w:name w:val="Нижний колонтитул Знак"/>
    <w:link w:val="664"/>
    <w:uiPriority w:val="99"/>
    <w:qFormat/>
  </w:style>
  <w:style w:type="table" w:styleId="705" w:customStyle="1">
    <w:name w:val="Table Grid Light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6" w:customStyle="1">
    <w:name w:val="Plain Table 1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4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4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4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4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4" w:customStyle="1">
    <w:name w:val="Grid Table 4 - Accent 2"/>
    <w:basedOn w:val="64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5" w:customStyle="1">
    <w:name w:val="Grid Table 4 - Accent 3"/>
    <w:basedOn w:val="64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6" w:customStyle="1">
    <w:name w:val="Grid Table 4 - Accent 4"/>
    <w:basedOn w:val="64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4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4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1"/>
    <w:basedOn w:val="64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8" w:customStyle="1">
    <w:name w:val="Grid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9" w:customStyle="1">
    <w:name w:val="Grid Table 6 Colorful - Accent 3"/>
    <w:basedOn w:val="64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0" w:customStyle="1">
    <w:name w:val="Grid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1" w:customStyle="1">
    <w:name w:val="Grid Table 6 Colorful - Accent 5"/>
    <w:basedOn w:val="64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6 Colorful - Accent 6"/>
    <w:basedOn w:val="64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3" w:customStyle="1">
    <w:name w:val="Grid Table 7 Colorful"/>
    <w:basedOn w:val="64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4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4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4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64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4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4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4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4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4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4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4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6" w:customStyle="1">
    <w:name w:val="List Table 6 Colorful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8" w:customStyle="1">
    <w:name w:val="List Table 6 Colorful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9" w:customStyle="1">
    <w:name w:val="List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4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4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4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4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4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4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4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0" w:customStyle="1">
    <w:name w:val="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1" w:customStyle="1">
    <w:name w:val="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2" w:customStyle="1">
    <w:name w:val="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3" w:customStyle="1">
    <w:name w:val="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7" w:customStyle="1">
    <w:name w:val="Bordered &amp; 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8" w:customStyle="1">
    <w:name w:val="Bordered &amp; 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9" w:customStyle="1">
    <w:name w:val="Bordered &amp; 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0" w:customStyle="1">
    <w:name w:val="Bordered &amp; 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4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4" w:customStyle="1">
    <w:name w:val="Bordered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6" w:customStyle="1">
    <w:name w:val="Bordered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7" w:customStyle="1">
    <w:name w:val="Bordered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 w:customStyle="1">
    <w:name w:val="Текст сноски Знак"/>
    <w:link w:val="651"/>
    <w:uiPriority w:val="99"/>
    <w:qFormat/>
    <w:rPr>
      <w:sz w:val="18"/>
    </w:rPr>
  </w:style>
  <w:style w:type="character" w:styleId="831" w:customStyle="1">
    <w:name w:val="Текст концевой сноски Знак"/>
    <w:link w:val="649"/>
    <w:uiPriority w:val="99"/>
    <w:qFormat/>
    <w:rPr>
      <w:sz w:val="20"/>
    </w:rPr>
  </w:style>
  <w:style w:type="paragraph" w:styleId="832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3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4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5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36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7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8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39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40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41" w:customStyle="1">
    <w:name w:val="Знак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 w:customStyle="1">
    <w:name w:val="Знак1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3" w:customStyle="1">
    <w:name w:val="StGen0"/>
    <w:basedOn w:val="634"/>
    <w:next w:val="665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Знак2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5</cp:revision>
  <dcterms:created xsi:type="dcterms:W3CDTF">2025-01-25T02:13:00Z</dcterms:created>
  <dcterms:modified xsi:type="dcterms:W3CDTF">2026-02-06T11:12:57Z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