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eastAsia="ru-RU"/>
        </w:rPr>
        <w:t xml:space="preserve">Административный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en-US" w:eastAsia="ru-RU"/>
        </w:rPr>
        <w:t xml:space="preserve"> департамент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министерства сельского хозяйства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и продовольствия Белгородской области</w:t>
      </w:r>
      <w:r>
        <w:rPr>
          <w:rFonts w:ascii="Times New Roman" w:hAnsi="Times New Roman" w:eastAsia="Calibri" w:cs="Times New Roman"/>
          <w:sz w:val="26"/>
          <w:szCs w:val="26"/>
          <w:highlight w:val="none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1.2. Вид и наименование проекта нормативного правового акта: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br/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«Об утверждении Порядка предоставления субсидий из областного бюджета на возмещение части затрат, понесенных заказчиками комплексных научно-технических проектов в агропромышленном комплексе при их реализации»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начало: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«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апреля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г.;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окончание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«4</w:t>
      </w:r>
      <w:bookmarkStart w:id="3" w:name="_GoBack"/>
      <w:r/>
      <w:bookmarkEnd w:id="3"/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мая 202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val="ru-RU"/>
        </w:rPr>
        <w:t xml:space="preserve">высокая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.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Проектом нормативно-правового акта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утверждается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Порядок возмещения субсидии по новой мере государственной поддержки. Предусматривается субсидия на возмещение части затрат, понесенных заказчиками комплексных научно-технических проектов в агропромышленном комплексе при их реализации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br/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с целью поддержки научных разработок в области селекции и генетики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Ф.И.О.: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Быкадорова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Анна Федоровна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Должность: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заместитель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начальника отдела перспективных направлений и инновационного развития отраслей АПК административного департамента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/>
          <w:i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Тел.: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</w:rPr>
        <w:t xml:space="preserve">(4722) 24-7</w:t>
      </w:r>
      <w:r>
        <w:rPr>
          <w:rFonts w:hint="default"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val="ru-RU"/>
        </w:rPr>
        <w:t xml:space="preserve">7-00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 Адрес электронной почты: 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  <w:lang w:val="ru-RU"/>
        </w:rPr>
        <w:t xml:space="preserve">bykadorova_af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@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  <w:lang w:val="en-US"/>
        </w:rPr>
        <w:t xml:space="preserve">bel</w:t>
      </w:r>
      <w:r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  <w:lang w:val="ru-RU"/>
        </w:rPr>
        <w:t xml:space="preserve">gov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  <w:highlight w:val="none"/>
          <w:u w:val="none"/>
          <w:lang w:val="en-US"/>
        </w:rPr>
        <w:t xml:space="preserve">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2.1. </w:t>
      </w:r>
      <w:r>
        <w:rPr>
          <w:rFonts w:ascii="Times New Roman" w:hAnsi="Times New Roman" w:eastAsia="Calibri" w:cs="Times New Roman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Проблема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- Невозможность проведения отбора на предоставление субсидии на возмещение части затрат, понесенных заказчиками комплексных научно-технических проектов в агропром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ышленном комплексе при их реализации с целью поддержки научных разработок в области селекции и генетики без утвержденного регионального нормативно-правового акта, регламентирующего порядок предоставления из областного бюджета средств на данное направление.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Мониторинг федерального законодательства, а также антикризисных мер в сельскохозяйственном секторе региона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/>
      <w:bookmarkStart w:id="1" w:name="_Hlk169776585"/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Невозможность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получения Федерального финансирования без внесения изменений в региональное законодательство;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- отсутствие утвержденных требований к отчетности и осуществлению контроля за соблюдением условий и порядка предоставления субсидии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заказчиков комплексных научно-технических проектов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в современных условиях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, а также ответственности за их нарушение;</w:t>
      </w:r>
      <w:bookmarkEnd w:id="1"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Анализ показал,</w:t>
      </w:r>
      <w:r>
        <w:rPr>
          <w:i/>
          <w:iCs/>
          <w:sz w:val="26"/>
          <w:szCs w:val="26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highlight w:val="none"/>
          <w:u w:val="single"/>
        </w:rPr>
        <w:t xml:space="preserve">что</w:t>
      </w:r>
      <w:r>
        <w:rPr>
          <w:i/>
          <w:iCs/>
          <w:sz w:val="26"/>
          <w:szCs w:val="26"/>
          <w:highlight w:val="none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органами исполнительной власти всех субъектов Российской Федерации ведутся работы по принятию аналогичных нормативн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о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правовы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х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акт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ов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, предусматривающие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разработку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нового порядка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предоставления государственной поддержки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на возмещение части затрат, понесенных заказчиками комплексных научно-технических проектов в агропромышленном комплексе при их реализации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Создание оптимальных условий для получения и освоения государственной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поддержки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в виде субсидий на возмещение части затрат, понесенных заказчиками комплексных научно-технических проектов в агропромышленном комплексе при их реализации.</w:t>
      </w:r>
      <w:r/>
    </w:p>
    <w:p>
      <w:pPr>
        <w:ind w:firstLine="967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 проект нормативного правового акта разработан в соответствии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с </w:t>
      </w:r>
      <w:bookmarkStart w:id="2" w:name="_Hlk121218295"/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постановлениями Правительства Российской Федерации от </w:t>
      </w:r>
      <w:bookmarkEnd w:id="2"/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14 июля 2012 года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br/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№ 717 «О Государственной программе развития сельского хозяйства и регулирования рынков сельскохозяйственной продукции, сырья и продовольствия.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3.3. Сроки достижения целей предлагаемого правового регулирования: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декабрь 202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6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отсутствует</w:t>
      </w:r>
      <w:r>
        <w:rPr>
          <w:rFonts w:ascii="Times New Roman" w:hAnsi="Times New Roman" w:eastAsia="Calibri" w:cs="Times New Roman"/>
          <w:sz w:val="26"/>
          <w:szCs w:val="26"/>
          <w:highlight w:val="none"/>
          <w:u w:val="single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</w:pPr>
      <w:r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-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</w:rPr>
        <w:t xml:space="preserve">Проектом нормативно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го</w:t>
      </w:r>
      <w:r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</w:rPr>
        <w:t xml:space="preserve">правового акта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утверждается</w:t>
      </w:r>
      <w:r>
        <w:rPr>
          <w:rFonts w:hint="default" w:ascii="Times New Roman" w:hAnsi="Times New Roman" w:eastAsia="Calibri" w:cs="Times New Roman"/>
          <w:i w:val="0"/>
          <w:iCs w:val="0"/>
          <w:sz w:val="26"/>
          <w:szCs w:val="26"/>
          <w:highlight w:val="none"/>
          <w:u w:val="none"/>
          <w:lang w:val="ru-RU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- порядок предоставления субсидии </w:t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t xml:space="preserve">на возмещение части затрат, </w:t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br/>
      </w:r>
      <w:r>
        <w:rPr>
          <w:rFonts w:hint="default" w:ascii="Times New Roman" w:hAnsi="Times New Roman" w:cs="Times New Roman"/>
          <w:b w:val="0"/>
          <w:bCs/>
          <w:i/>
          <w:iCs/>
          <w:sz w:val="26"/>
          <w:szCs w:val="26"/>
          <w:highlight w:val="none"/>
          <w:u w:val="single"/>
          <w:lang w:val="ru-RU"/>
        </w:rPr>
        <w:t xml:space="preserve">понесенных заказчиками комплексных научно-технических проектов в агропромышленном комплексе при их реализации с целью поддержки научных разработок в области селекции и генетики.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  <w:u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u w:val="none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- осуществление деятельности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организациями и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индивидуальными предпринимателям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и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за счёт собственных или заёмных (кредитных) средств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При минимальном размере гранта в сумме 5,0 млн. руб. в случае привлечения заемных средств в вышеуказанной сумме (под процентную ставку в размере 5 %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br/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(в сфере АПК) на 12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месяц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ев,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переплата получателя составит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en-US" w:eastAsia="zh-CN"/>
        </w:rPr>
        <w:t xml:space="preserve">136,45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 тыс. руб.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r>
      <w:r>
        <w:rPr>
          <w:i/>
          <w:iCs/>
          <w:u w:val="single"/>
        </w:rPr>
      </w:r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Оптимальным способом решения проблемы считаем принятие постановления Правительства Белгородской области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«Об утверждении Порядка предоставления субсидий из областного бюджета на возмещение части затрат, понесенных заказчиками комплексных научно-технических проектов в агропромышленном комплексе при их реализации»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,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где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утверждается Порядок возмещения субсидии по новой мере государственной поддержки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с целью поддержки научных разработок в области селекции и генетики.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Утверждение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порядка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позволит создать оптимальные условия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заказчикам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u w:val="single"/>
          <w:lang w:val="ru-RU"/>
        </w:rPr>
        <w:t xml:space="preserve"> комплексных научно-технических проектов 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  <w:u w:val="single"/>
        </w:rPr>
        <w:t xml:space="preserve">для более эффективного освоения представленной государственной поддержки.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832"/>
        <w:gridCol w:w="2835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  <w:lang w:val="ru-RU"/>
              </w:rPr>
              <w:t xml:space="preserve">З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аказчики 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  <w:lang w:val="ru-RU"/>
              </w:rPr>
              <w:t xml:space="preserve">комплексных 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научно-технических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 проектов, заключившие с Министерством сельского хозяйства Российской Федерации соглашения о реализации научно-технических проектов, достигшие или привысившие значения целевых показателей (индикаторов) отобранных научно-технических проектов за отчетный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i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i/>
                <w:iCs/>
                <w:sz w:val="26"/>
                <w:szCs w:val="26"/>
                <w:highlight w:val="none"/>
                <w:lang w:val="ru-RU"/>
              </w:rPr>
              <w:t xml:space="preserve">3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572"/>
        <w:gridCol w:w="3540"/>
        <w:gridCol w:w="255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  <w:lang w:val="ru-RU"/>
              </w:rPr>
              <w:t xml:space="preserve">З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аказчики 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  <w:lang w:val="ru-RU"/>
              </w:rPr>
              <w:t xml:space="preserve">комплексных 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научно-технических</w:t>
            </w:r>
            <w:r>
              <w:rPr>
                <w:rFonts w:hint="default" w:ascii="Times New Roman" w:hAnsi="Times New Roman" w:cs="Times New Roman"/>
                <w:i/>
                <w:iCs w:val="0"/>
                <w:sz w:val="26"/>
                <w:szCs w:val="26"/>
                <w:highlight w:val="none"/>
              </w:rPr>
              <w:t xml:space="preserve"> проектов, заключившие с Министерством сельского хозяйства Российской Федерации соглашения о реализации научно-технических проектов, достигшие или привысившие значения целевых показателей (индикаторов) отобранных научно-технических проектов за отчетный год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u w:val="single"/>
              </w:rPr>
              <w:t xml:space="preserve">Преимущества:</w:t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-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возможность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получение субсидии на 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u w:val="single"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- предоставление пакета документов, необходимых для участия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 w:val="0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Общая стоимость требования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 по предоставлению пакета документов для получения субсидии на 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 w:val="0"/>
                <w:i/>
                <w:iCs/>
                <w:sz w:val="26"/>
                <w:szCs w:val="26"/>
                <w:highlight w:val="yellow"/>
              </w:rPr>
            </w:pPr>
            <w:r>
              <w:rPr>
                <w:rFonts w:hint="default" w:ascii="Times New Roman" w:hAnsi="Times New Roman" w:eastAsia="Times New Roman"/>
                <w:i/>
                <w:iCs/>
                <w:sz w:val="26"/>
                <w:szCs w:val="26"/>
                <w:highlight w:val="none"/>
                <w:lang w:val="en-US" w:eastAsia="ru-RU"/>
              </w:rPr>
              <w:t xml:space="preserve">14075,28 </w:t>
            </w:r>
            <w:r>
              <w:rPr>
                <w:rFonts w:ascii="Times New Roman" w:hAnsi="Times New Roman" w:eastAsia="Times New Roman"/>
                <w:i/>
                <w:iCs/>
                <w:sz w:val="26"/>
                <w:szCs w:val="26"/>
                <w:highlight w:val="none"/>
                <w:lang w:eastAsia="ru-RU"/>
              </w:rPr>
              <w:t xml:space="preserve">руб.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tbl>
      <w:tblPr>
        <w:tblStyle w:val="645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color w:val="ff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  <w:highlight w:val="none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П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u w:val="none"/>
                <w:lang w:val="ru-RU"/>
              </w:rPr>
              <w:t xml:space="preserve">редоставление субсидии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u w:val="none"/>
                <w:lang w:val="ru-RU"/>
              </w:rPr>
              <w:t xml:space="preserve">на  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cs="Times New Roman"/>
                <w:bCs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Финансирование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на предоставление субсидии в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2026 году предусмотрено на общую сумму 298 751,25 тыс.руб. в том числе из федерального бюджета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br/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shd w:val="clear" w:color="auto" w:fill="ffffff"/>
                <w:lang w:val="ru-RU"/>
              </w:rPr>
              <w:t xml:space="preserve">262 901,10 тыс. руб. (88%) и 35 850,15 тыс. руб. (12%) из бюджета Белгородской области.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highlight w:val="none"/>
          <w:u w:val="single"/>
          <w:lang w:eastAsia="ru-RU"/>
        </w:rPr>
        <w:t xml:space="preserve">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45"/>
        <w:tblpPr w:horzAnchor="margin" w:tblpX="1" w:vertAnchor="text" w:tblpY="189" w:leftFromText="180" w:topFromText="0" w:rightFromText="180" w:bottomFromText="0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139"/>
        <w:gridCol w:w="2268"/>
        <w:gridCol w:w="326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9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hint="default"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 w:val="0"/>
                <w:sz w:val="24"/>
                <w:szCs w:val="24"/>
                <w:highlight w:val="none"/>
              </w:rPr>
              <w:t xml:space="preserve">Отсутствие </w:t>
            </w:r>
            <w:r>
              <w:rPr>
                <w:rFonts w:ascii="Times New Roman" w:hAnsi="Times New Roman" w:cs="Times New Roman"/>
                <w:i/>
                <w:iCs w:val="0"/>
                <w:sz w:val="26"/>
                <w:szCs w:val="26"/>
                <w:highlight w:val="none"/>
                <w:u w:val="none"/>
              </w:rPr>
              <w:t xml:space="preserve">з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u w:val="none"/>
              </w:rPr>
              <w:t xml:space="preserve">аявок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u w:val="none"/>
                <w:lang w:val="ru-RU"/>
              </w:rPr>
              <w:t xml:space="preserve">на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u w:val="none"/>
                <w:lang w:val="ru-RU"/>
              </w:rPr>
              <w:t xml:space="preserve">возмещение части затрат, понесенных заказчиками комплексных научно-технических проектов в агропромышленном комплексе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низкое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организаций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highlight w:val="none"/>
                <w:lang w:val="ru-RU"/>
              </w:rPr>
              <w:t xml:space="preserve"> и индивидуальных предпринимателей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highlight w:val="none"/>
              </w:rPr>
              <w:t xml:space="preserve"> о мерах поддержки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tbl>
      <w:tblPr>
        <w:tblStyle w:val="645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2381"/>
        <w:gridCol w:w="1276"/>
        <w:gridCol w:w="144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Объем финанси-рования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Источники финанси-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рования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pStyle w:val="833"/>
              <w:keepNext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Размещение информации о принятии постановления Правительства Белгородской области на официальном сайте ведомства 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en-US"/>
              </w:rPr>
              <w:t xml:space="preserve">belapk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июнь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  <w:t xml:space="preserve">-июль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Увеличение численности поданных заявок и потенциальных претендентов на </w:t>
            </w: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  <w:t xml:space="preserve">нет</w:t>
            </w:r>
            <w:r/>
          </w:p>
        </w:tc>
      </w:tr>
      <w:tr>
        <w:trPr>
          <w:trHeight w:val="22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Мониторинг предоставленных субсидий на возмещение части затрат,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u w:val="none"/>
                <w:lang w:val="ru-RU"/>
              </w:rPr>
              <w:t xml:space="preserve">понесенных заказчиками комплексных научно-технических проектов в агропромышленном комплексе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август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202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1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Предоставление субсидий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Align w:val="top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6"/>
          <w:szCs w:val="26"/>
          <w:highlight w:val="none"/>
        </w:rPr>
      </w:r>
      <w:r/>
    </w:p>
    <w:tbl>
      <w:tblPr>
        <w:tblStyle w:val="6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6"/>
        <w:gridCol w:w="2127"/>
        <w:gridCol w:w="3260"/>
        <w:gridCol w:w="2092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(не более 5 лет)</w:t>
            </w:r>
            <w:r/>
          </w:p>
        </w:tc>
      </w:tr>
      <w:tr>
        <w:trPr>
          <w:trHeight w:val="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  <w:u w:val="none"/>
                <w:lang w:val="ru-RU"/>
              </w:rPr>
              <w:t xml:space="preserve">Оказание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none"/>
                <w:u w:val="none"/>
                <w:lang w:val="ru-RU"/>
              </w:rPr>
              <w:t xml:space="preserve"> государственной поддержки в виде предоставления субсидии 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6"/>
                <w:szCs w:val="26"/>
                <w:highlight w:val="none"/>
                <w:u w:val="none"/>
                <w:lang w:val="ru-RU"/>
              </w:rPr>
              <w:t xml:space="preserve">на 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ru-RU"/>
              </w:rPr>
              <w:t xml:space="preserve">Не менее 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none"/>
                <w:u w:val="single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none"/>
                <w:u w:val="none"/>
                <w:lang w:val="ru-RU"/>
              </w:rPr>
              <w:t xml:space="preserve">Оценка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highlight w:val="none"/>
                <w:u w:val="none"/>
                <w:lang w:val="ru-RU"/>
              </w:rPr>
              <w:t xml:space="preserve"> поступивших заявок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eastAsia="ru-RU"/>
              </w:rPr>
              <w:t xml:space="preserve">Ежегодно</w:t>
            </w: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  <w:highlight w:val="none"/>
                <w:lang w:val="en-US" w:eastAsia="ru-RU"/>
              </w:rPr>
              <w:t xml:space="preserve"> в конце года предоставления субсидии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bCs/>
          <w:color w:val="ff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8. Предполагаемая дата вступления в силу проекта нормативного правового акта: </w:t>
      </w:r>
      <w:r>
        <w:rPr>
          <w:rFonts w:hint="default" w:ascii="Times New Roman" w:hAnsi="Times New Roman" w:eastAsia="Calibri" w:cs="Times New Roman"/>
          <w:bCs/>
          <w:sz w:val="26"/>
          <w:szCs w:val="26"/>
          <w:highlight w:val="none"/>
          <w:lang w:val="ru-RU"/>
        </w:rPr>
        <w:t xml:space="preserve">2</w:t>
      </w:r>
      <w:r>
        <w:rPr>
          <w:rFonts w:hint="default" w:ascii="Times New Roman" w:hAnsi="Times New Roman" w:eastAsia="Calibri" w:cs="Times New Roman"/>
          <w:bCs/>
          <w:i/>
          <w:iCs/>
          <w:sz w:val="26"/>
          <w:szCs w:val="26"/>
          <w:highlight w:val="none"/>
          <w:lang w:val="ru-RU"/>
        </w:rPr>
        <w:t xml:space="preserve"> квартал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i/>
          <w:iCs/>
          <w:sz w:val="26"/>
          <w:szCs w:val="26"/>
          <w:highlight w:val="none"/>
          <w:lang w:val="ru-RU"/>
        </w:rPr>
        <w:t xml:space="preserve">6</w:t>
      </w:r>
      <w:r>
        <w:rPr>
          <w:rFonts w:ascii="Times New Roman" w:hAnsi="Times New Roman" w:eastAsia="Calibri" w:cs="Times New Roman"/>
          <w:i/>
          <w:iCs/>
          <w:sz w:val="26"/>
          <w:szCs w:val="26"/>
          <w:highlight w:val="none"/>
        </w:rPr>
        <w:t xml:space="preserve"> года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basedOn w:val="644"/>
    <w:uiPriority w:val="99"/>
    <w:unhideWhenUsed/>
    <w:qFormat/>
    <w:rPr>
      <w:vertAlign w:val="superscript"/>
    </w:rPr>
  </w:style>
  <w:style w:type="character" w:styleId="647">
    <w:name w:val="endnote reference"/>
    <w:basedOn w:val="644"/>
    <w:uiPriority w:val="99"/>
    <w:semiHidden/>
    <w:unhideWhenUsed/>
    <w:qFormat/>
    <w:rPr>
      <w:vertAlign w:val="superscript"/>
    </w:rPr>
  </w:style>
  <w:style w:type="character" w:styleId="648">
    <w:name w:val="Hyperlink"/>
    <w:basedOn w:val="644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endnote text"/>
    <w:basedOn w:val="634"/>
    <w:link w:val="83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1">
    <w:name w:val="footnote text"/>
    <w:basedOn w:val="634"/>
    <w:link w:val="83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2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3">
    <w:name w:val="Header"/>
    <w:basedOn w:val="634"/>
    <w:link w:val="70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4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5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6">
    <w:name w:val="toc 1"/>
    <w:basedOn w:val="634"/>
    <w:next w:val="634"/>
    <w:uiPriority w:val="39"/>
    <w:unhideWhenUsed/>
    <w:qFormat/>
    <w:pPr>
      <w:spacing w:after="57"/>
    </w:pPr>
  </w:style>
  <w:style w:type="paragraph" w:styleId="657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58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59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0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1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2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3">
    <w:name w:val="Title"/>
    <w:basedOn w:val="634"/>
    <w:next w:val="634"/>
    <w:link w:val="696"/>
    <w:uiPriority w:val="10"/>
    <w:qFormat/>
    <w:pPr>
      <w:contextualSpacing/>
      <w:spacing w:before="300"/>
    </w:pPr>
    <w:rPr>
      <w:sz w:val="48"/>
      <w:szCs w:val="48"/>
    </w:rPr>
  </w:style>
  <w:style w:type="paragraph" w:styleId="664">
    <w:name w:val="Footer"/>
    <w:basedOn w:val="63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Normal (Web)"/>
    <w:basedOn w:val="634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666">
    <w:name w:val="Subtitle"/>
    <w:basedOn w:val="634"/>
    <w:next w:val="634"/>
    <w:link w:val="697"/>
    <w:uiPriority w:val="11"/>
    <w:qFormat/>
    <w:pPr>
      <w:spacing w:before="200"/>
    </w:pPr>
    <w:rPr>
      <w:sz w:val="24"/>
      <w:szCs w:val="24"/>
    </w:rPr>
  </w:style>
  <w:style w:type="table" w:styleId="667">
    <w:name w:val="Table Grid"/>
    <w:basedOn w:val="645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8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44"/>
    <w:uiPriority w:val="10"/>
    <w:qFormat/>
    <w:rPr>
      <w:sz w:val="48"/>
      <w:szCs w:val="48"/>
    </w:rPr>
  </w:style>
  <w:style w:type="character" w:styleId="678" w:customStyle="1">
    <w:name w:val="Subtitle Char"/>
    <w:basedOn w:val="644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basedOn w:val="644"/>
    <w:uiPriority w:val="99"/>
    <w:qFormat/>
  </w:style>
  <w:style w:type="character" w:styleId="682" w:customStyle="1">
    <w:name w:val="Caption Char"/>
    <w:uiPriority w:val="99"/>
    <w:qFormat/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basedOn w:val="644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44"/>
    <w:link w:val="636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44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44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44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44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44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44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44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3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6" w:customStyle="1">
    <w:name w:val="Заголовок Знак"/>
    <w:basedOn w:val="644"/>
    <w:link w:val="663"/>
    <w:uiPriority w:val="10"/>
    <w:qFormat/>
    <w:rPr>
      <w:sz w:val="48"/>
      <w:szCs w:val="48"/>
    </w:rPr>
  </w:style>
  <w:style w:type="character" w:styleId="697" w:customStyle="1">
    <w:name w:val="Подзаголовок Знак"/>
    <w:basedOn w:val="644"/>
    <w:link w:val="666"/>
    <w:uiPriority w:val="11"/>
    <w:qFormat/>
    <w:rPr>
      <w:sz w:val="24"/>
      <w:szCs w:val="24"/>
    </w:rPr>
  </w:style>
  <w:style w:type="paragraph" w:styleId="698">
    <w:name w:val="Quote"/>
    <w:basedOn w:val="634"/>
    <w:next w:val="63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qFormat/>
    <w:rPr>
      <w:i/>
    </w:rPr>
  </w:style>
  <w:style w:type="paragraph" w:styleId="700">
    <w:name w:val="Intense Quote"/>
    <w:basedOn w:val="634"/>
    <w:next w:val="63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qFormat/>
    <w:rPr>
      <w:i/>
    </w:rPr>
  </w:style>
  <w:style w:type="character" w:styleId="702" w:customStyle="1">
    <w:name w:val="Верхний колонтитул Знак"/>
    <w:basedOn w:val="644"/>
    <w:link w:val="653"/>
    <w:uiPriority w:val="99"/>
    <w:qFormat/>
  </w:style>
  <w:style w:type="character" w:styleId="703" w:customStyle="1">
    <w:name w:val="Footer Char"/>
    <w:basedOn w:val="644"/>
    <w:uiPriority w:val="99"/>
    <w:qFormat/>
  </w:style>
  <w:style w:type="character" w:styleId="704" w:customStyle="1">
    <w:name w:val="Нижний колонтитул Знак"/>
    <w:link w:val="664"/>
    <w:uiPriority w:val="99"/>
    <w:qFormat/>
  </w:style>
  <w:style w:type="table" w:styleId="705" w:customStyle="1">
    <w:name w:val="Table Grid Light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6" w:customStyle="1">
    <w:name w:val="Plain Table 1"/>
    <w:basedOn w:val="64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4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4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4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basedOn w:val="64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basedOn w:val="64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basedOn w:val="64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basedOn w:val="64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basedOn w:val="64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basedOn w:val="64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4" w:customStyle="1">
    <w:name w:val="Grid Table 4 - Accent 2"/>
    <w:basedOn w:val="645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5" w:customStyle="1">
    <w:name w:val="Grid Table 4 - Accent 3"/>
    <w:basedOn w:val="64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6" w:customStyle="1">
    <w:name w:val="Grid Table 4 - Accent 4"/>
    <w:basedOn w:val="645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basedOn w:val="64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basedOn w:val="645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basedOn w:val="64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1"/>
    <w:basedOn w:val="64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8" w:customStyle="1">
    <w:name w:val="Grid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9" w:customStyle="1">
    <w:name w:val="Grid Table 6 Colorful - Accent 3"/>
    <w:basedOn w:val="64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0" w:customStyle="1">
    <w:name w:val="Grid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1" w:customStyle="1">
    <w:name w:val="Grid Table 6 Colorful - Accent 5"/>
    <w:basedOn w:val="64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6 Colorful - Accent 6"/>
    <w:basedOn w:val="645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3" w:customStyle="1">
    <w:name w:val="Grid Table 7 Colorful"/>
    <w:basedOn w:val="645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basedOn w:val="645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basedOn w:val="64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basedOn w:val="64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basedOn w:val="645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basedOn w:val="645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basedOn w:val="645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645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basedOn w:val="645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basedOn w:val="645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basedOn w:val="645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basedOn w:val="645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basedOn w:val="645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basedOn w:val="645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basedOn w:val="645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645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4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4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4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45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45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4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6 Colorful"/>
    <w:basedOn w:val="64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6" w:customStyle="1">
    <w:name w:val="List Table 6 Colorful - Accent 1"/>
    <w:basedOn w:val="645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basedOn w:val="64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8" w:customStyle="1">
    <w:name w:val="List Table 6 Colorful - Accent 3"/>
    <w:basedOn w:val="64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9" w:customStyle="1">
    <w:name w:val="List Table 6 Colorful - Accent 4"/>
    <w:basedOn w:val="64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basedOn w:val="645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basedOn w:val="64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basedOn w:val="645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basedOn w:val="645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basedOn w:val="64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basedOn w:val="645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basedOn w:val="64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basedOn w:val="645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basedOn w:val="645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0" w:customStyle="1">
    <w:name w:val="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1" w:customStyle="1">
    <w:name w:val="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2" w:customStyle="1">
    <w:name w:val="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3" w:customStyle="1">
    <w:name w:val="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7" w:customStyle="1">
    <w:name w:val="Bordered &amp; Lined - Accent 1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8" w:customStyle="1">
    <w:name w:val="Bordered &amp; Lined - Accent 2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9" w:customStyle="1">
    <w:name w:val="Bordered &amp; Lined - Accent 3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0" w:customStyle="1">
    <w:name w:val="Bordered &amp; Lined - Accent 4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basedOn w:val="645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basedOn w:val="645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4" w:customStyle="1">
    <w:name w:val="Bordered - Accent 1"/>
    <w:basedOn w:val="64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basedOn w:val="64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6" w:customStyle="1">
    <w:name w:val="Bordered - Accent 3"/>
    <w:basedOn w:val="64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7" w:customStyle="1">
    <w:name w:val="Bordered - Accent 4"/>
    <w:basedOn w:val="64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basedOn w:val="645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basedOn w:val="64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 w:customStyle="1">
    <w:name w:val="Текст сноски Знак"/>
    <w:link w:val="651"/>
    <w:uiPriority w:val="99"/>
    <w:qFormat/>
    <w:rPr>
      <w:sz w:val="18"/>
    </w:rPr>
  </w:style>
  <w:style w:type="character" w:styleId="831" w:customStyle="1">
    <w:name w:val="Текст концевой сноски Знак"/>
    <w:link w:val="649"/>
    <w:uiPriority w:val="99"/>
    <w:qFormat/>
    <w:rPr>
      <w:sz w:val="20"/>
    </w:rPr>
  </w:style>
  <w:style w:type="paragraph" w:styleId="832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3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4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5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6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7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8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39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40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41" w:customStyle="1">
    <w:name w:val="Знак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 w:customStyle="1">
    <w:name w:val="Знак1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3" w:customStyle="1">
    <w:name w:val="StGen0"/>
    <w:basedOn w:val="634"/>
    <w:next w:val="665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Знак2"/>
    <w:basedOn w:val="634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numbering" w:styleId="189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6</cp:revision>
  <dcterms:created xsi:type="dcterms:W3CDTF">2025-01-26T05:13:00Z</dcterms:created>
  <dcterms:modified xsi:type="dcterms:W3CDTF">2026-04-06T12:44:28Z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