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Пояснительная записка</w:t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</w:t>
      </w:r>
      <w:r>
        <w:rPr>
          <w:b/>
          <w:sz w:val="26"/>
          <w:szCs w:val="26"/>
        </w:rPr>
        <w:t xml:space="preserve">проекту </w:t>
      </w:r>
      <w:r>
        <w:rPr>
          <w:b/>
          <w:sz w:val="26"/>
          <w:szCs w:val="26"/>
        </w:rPr>
        <w:t xml:space="preserve">постановления Правительства Белгородской области</w:t>
      </w:r>
      <w:r>
        <w:rPr>
          <w:b/>
          <w:sz w:val="26"/>
          <w:szCs w:val="26"/>
        </w:rPr>
        <w:br/>
        <w:t xml:space="preserve">«О</w:t>
      </w:r>
      <w:r>
        <w:rPr>
          <w:b/>
          <w:sz w:val="26"/>
          <w:szCs w:val="26"/>
        </w:rPr>
        <w:t xml:space="preserve">б</w:t>
      </w:r>
      <w:r>
        <w:rPr>
          <w:b/>
          <w:sz w:val="26"/>
          <w:szCs w:val="26"/>
        </w:rPr>
        <w:t xml:space="preserve"> утверждении </w:t>
      </w:r>
      <w:r>
        <w:rPr>
          <w:b/>
          <w:sz w:val="26"/>
          <w:szCs w:val="26"/>
        </w:rPr>
        <w:t xml:space="preserve">Порядка предоставления субсидий из областного бюджета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на во</w:t>
      </w:r>
      <w:r>
        <w:rPr>
          <w:b/>
          <w:sz w:val="26"/>
          <w:szCs w:val="26"/>
        </w:rPr>
        <w:t xml:space="preserve">змещение части затрат на уплату </w:t>
      </w:r>
      <w:r>
        <w:rPr>
          <w:b/>
          <w:sz w:val="26"/>
          <w:szCs w:val="26"/>
        </w:rPr>
        <w:t xml:space="preserve">п</w:t>
      </w:r>
      <w:r>
        <w:rPr>
          <w:b/>
          <w:sz w:val="26"/>
          <w:szCs w:val="26"/>
        </w:rPr>
        <w:t xml:space="preserve">роцентов по кредитам, связанным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с реализацией инвестиционных проектов по со</w:t>
      </w:r>
      <w:r>
        <w:rPr>
          <w:b/>
          <w:sz w:val="26"/>
          <w:szCs w:val="26"/>
        </w:rPr>
        <w:t xml:space="preserve">зданию имущественных комплексов </w:t>
      </w:r>
      <w:r>
        <w:rPr>
          <w:b/>
          <w:sz w:val="26"/>
          <w:szCs w:val="26"/>
        </w:rPr>
        <w:t xml:space="preserve">в сфере биотехнологий и (или)</w:t>
      </w:r>
      <w:r>
        <w:rPr>
          <w:b/>
          <w:sz w:val="26"/>
          <w:szCs w:val="26"/>
        </w:rPr>
        <w:t xml:space="preserve"> фармацевтики</w:t>
      </w:r>
      <w:r>
        <w:rPr>
          <w:b/>
          <w:sz w:val="26"/>
          <w:szCs w:val="26"/>
        </w:rPr>
        <w:br/>
        <w:t xml:space="preserve">и (или) селекции и (или) генетики»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Правительства Белгородской</w:t>
      </w:r>
      <w:r>
        <w:rPr>
          <w:sz w:val="26"/>
          <w:szCs w:val="26"/>
        </w:rPr>
        <w:t xml:space="preserve"> области «</w:t>
      </w:r>
      <w:r>
        <w:rPr>
          <w:sz w:val="26"/>
          <w:szCs w:val="26"/>
        </w:rPr>
        <w:t xml:space="preserve">Об утверждении Порядка предоставления субсидий из областного бюджета на возмещение части затрат на уплату процентов по кредитам, связанным с реализацией инвестиционных проектов по созданию имущественных комплексов </w:t>
      </w:r>
      <w:r>
        <w:rPr>
          <w:sz w:val="26"/>
          <w:szCs w:val="26"/>
        </w:rPr>
        <w:t xml:space="preserve">в сфере биотехнологий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и (или), фармацевтики и (или) селекции и (или) генетики</w:t>
      </w:r>
      <w:r>
        <w:rPr>
          <w:sz w:val="26"/>
          <w:szCs w:val="26"/>
        </w:rPr>
        <w:t xml:space="preserve">» подготовлен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со статьей 78 Бюджетного </w:t>
      </w:r>
      <w:hyperlink r:id="rId8" w:tooltip="https://login.consultant.ru/link/?req=doc&amp;base=LAW&amp;n=503620&amp;dst=103399" w:history="1">
        <w:r>
          <w:rPr>
            <w:sz w:val="26"/>
            <w:szCs w:val="26"/>
          </w:rPr>
          <w:t xml:space="preserve">кодекса</w:t>
        </w:r>
      </w:hyperlink>
      <w:r>
        <w:rPr>
          <w:sz w:val="26"/>
          <w:szCs w:val="26"/>
        </w:rPr>
        <w:t xml:space="preserve"> Российской Федерации, </w:t>
      </w:r>
      <w:hyperlink r:id="rId9" w:tooltip="https://login.consultant.ru/link/?req=doc&amp;base=LAW&amp;n=490805&amp;dst=100021" w:history="1">
        <w:r>
          <w:rPr>
            <w:sz w:val="26"/>
            <w:szCs w:val="26"/>
          </w:rPr>
          <w:t xml:space="preserve">постановлением</w:t>
        </w:r>
      </w:hyperlink>
      <w:r>
        <w:rPr>
          <w:sz w:val="26"/>
          <w:szCs w:val="26"/>
        </w:rPr>
        <w:t xml:space="preserve"> Пра</w:t>
      </w:r>
      <w:r>
        <w:rPr>
          <w:sz w:val="26"/>
          <w:szCs w:val="26"/>
        </w:rPr>
        <w:t xml:space="preserve">вительства Российской Федерации </w:t>
      </w:r>
      <w:r>
        <w:rPr>
          <w:sz w:val="26"/>
          <w:szCs w:val="26"/>
        </w:rPr>
        <w:t xml:space="preserve">от 25</w:t>
      </w:r>
      <w:bookmarkStart w:id="0" w:name="_GoBack"/>
      <w:r/>
      <w:bookmarkEnd w:id="0"/>
      <w:r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</w:t>
      </w:r>
      <w:r>
        <w:rPr>
          <w:sz w:val="26"/>
          <w:szCs w:val="26"/>
        </w:rPr>
        <w:t xml:space="preserve">23 года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№ 1782 «</w:t>
      </w:r>
      <w:r>
        <w:rPr>
          <w:sz w:val="26"/>
          <w:szCs w:val="26"/>
        </w:rPr>
        <w:t xml:space="preserve">Об утверждении общих требований </w:t>
      </w:r>
      <w:r>
        <w:rPr>
          <w:sz w:val="26"/>
          <w:szCs w:val="26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</w:t>
      </w:r>
      <w:r>
        <w:rPr>
          <w:sz w:val="26"/>
          <w:szCs w:val="26"/>
        </w:rPr>
        <w:t xml:space="preserve">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законами Белгородской об</w:t>
      </w:r>
      <w:r>
        <w:rPr>
          <w:sz w:val="26"/>
          <w:szCs w:val="26"/>
        </w:rPr>
        <w:t xml:space="preserve">ласти от</w:t>
      </w:r>
      <w:r>
        <w:rPr>
          <w:sz w:val="26"/>
          <w:szCs w:val="26"/>
        </w:rPr>
        <w:t xml:space="preserve"> 1 июля 2014 года № 284 </w:t>
      </w:r>
      <w:r>
        <w:rPr>
          <w:sz w:val="26"/>
          <w:szCs w:val="26"/>
        </w:rPr>
        <w:t xml:space="preserve">«Об инвестиционной деятельности в Бе</w:t>
      </w:r>
      <w:r>
        <w:rPr>
          <w:sz w:val="26"/>
          <w:szCs w:val="26"/>
        </w:rPr>
        <w:t xml:space="preserve">лгородской области», от 30 июня </w:t>
      </w:r>
      <w:r>
        <w:rPr>
          <w:sz w:val="26"/>
          <w:szCs w:val="26"/>
        </w:rPr>
        <w:t xml:space="preserve">2016 год</w:t>
      </w:r>
      <w:r>
        <w:rPr>
          <w:sz w:val="26"/>
          <w:szCs w:val="26"/>
        </w:rPr>
        <w:t xml:space="preserve">а № 87 «О промышленной политике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в Белгородской области», постановлением Пра</w:t>
      </w:r>
      <w:r>
        <w:rPr>
          <w:sz w:val="26"/>
          <w:szCs w:val="26"/>
        </w:rPr>
        <w:t xml:space="preserve">вительства Белгородской области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от 18 декабря 2023 года № 723-пп «Об утверждении государственной программы Белгородской области «Развитие научной, научно-технологическ</w:t>
      </w:r>
      <w:r>
        <w:rPr>
          <w:sz w:val="26"/>
          <w:szCs w:val="26"/>
        </w:rPr>
        <w:t xml:space="preserve">ой и инновационной деятельности </w:t>
      </w:r>
      <w:r>
        <w:rPr>
          <w:sz w:val="26"/>
          <w:szCs w:val="26"/>
        </w:rPr>
        <w:t xml:space="preserve">в Белгородской области»</w:t>
      </w:r>
      <w:r>
        <w:rPr>
          <w:sz w:val="26"/>
          <w:szCs w:val="26"/>
        </w:rPr>
        <w:t xml:space="preserve">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</w:t>
      </w:r>
      <w:r>
        <w:rPr>
          <w:sz w:val="26"/>
          <w:szCs w:val="26"/>
        </w:rPr>
        <w:t xml:space="preserve">постановления утв</w:t>
      </w:r>
      <w:r>
        <w:rPr>
          <w:sz w:val="26"/>
          <w:szCs w:val="26"/>
        </w:rPr>
        <w:t xml:space="preserve">ерждается порядок предоставления</w:t>
      </w:r>
      <w:r>
        <w:rPr>
          <w:sz w:val="26"/>
          <w:szCs w:val="26"/>
        </w:rPr>
        <w:t xml:space="preserve"> меры поддержки </w:t>
      </w:r>
      <w:r>
        <w:rPr>
          <w:sz w:val="26"/>
          <w:szCs w:val="26"/>
        </w:rPr>
        <w:t xml:space="preserve">в виде  </w:t>
      </w:r>
      <w:r>
        <w:rPr>
          <w:sz w:val="26"/>
          <w:szCs w:val="26"/>
        </w:rPr>
        <w:t xml:space="preserve">субсидий из областного бюджета на во</w:t>
      </w:r>
      <w:r>
        <w:rPr>
          <w:sz w:val="26"/>
          <w:szCs w:val="26"/>
        </w:rPr>
        <w:t xml:space="preserve">змещение части затрат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на уплату процентов по кредитам</w:t>
      </w:r>
      <w:r>
        <w:rPr>
          <w:sz w:val="26"/>
          <w:szCs w:val="26"/>
        </w:rPr>
        <w:t xml:space="preserve">, связанным с реализацией инвестиционных проектов по со</w:t>
      </w:r>
      <w:r>
        <w:rPr>
          <w:sz w:val="26"/>
          <w:szCs w:val="26"/>
        </w:rPr>
        <w:t xml:space="preserve">зданию имущественных комплексов в сфере биотехнологий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и (или), фармацевтики и (или) селекции и (или) генетики.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Дополнительные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расходы </w:t>
      </w:r>
      <w:r>
        <w:rPr>
          <w:sz w:val="26"/>
          <w:szCs w:val="26"/>
        </w:rPr>
        <w:t xml:space="preserve">из</w:t>
      </w:r>
      <w:r>
        <w:rPr>
          <w:sz w:val="26"/>
          <w:szCs w:val="26"/>
        </w:rPr>
        <w:t xml:space="preserve"> областного </w:t>
      </w:r>
      <w:r>
        <w:rPr>
          <w:sz w:val="26"/>
          <w:szCs w:val="26"/>
        </w:rPr>
        <w:t xml:space="preserve">бюджета на оказание меры поддержки будут включены в </w:t>
      </w:r>
      <w:r>
        <w:rPr>
          <w:sz w:val="26"/>
          <w:szCs w:val="26"/>
        </w:rPr>
        <w:t xml:space="preserve">государственную программу Белгородской области «Развитие научной, научно-технологическ</w:t>
      </w:r>
      <w:r>
        <w:rPr>
          <w:sz w:val="26"/>
          <w:szCs w:val="26"/>
        </w:rPr>
        <w:t xml:space="preserve">ой и инновационной деятельности </w:t>
      </w:r>
      <w:r>
        <w:rPr>
          <w:sz w:val="26"/>
          <w:szCs w:val="26"/>
        </w:rPr>
        <w:t xml:space="preserve">в Белгородской области», утвержденную постановлением Пра</w:t>
      </w:r>
      <w:r>
        <w:rPr>
          <w:sz w:val="26"/>
          <w:szCs w:val="26"/>
        </w:rPr>
        <w:t xml:space="preserve">вительства Белгородской области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от 18 декабря 2023 года № 723-пп «Об утверждении государственной программы Белгородской области «Развитие научной, научно-технологической и инновационной деятельности в Белгородской области».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sectPr>
      <w:foot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480"/>
      </w:pPr>
      <w:rPr>
        <w:rFonts w:eastAsia="Times New Roman"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80"/>
    <w:next w:val="38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38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80"/>
    <w:next w:val="38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38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80"/>
    <w:next w:val="38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38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80"/>
    <w:next w:val="38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382"/>
    <w:link w:val="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382"/>
    <w:link w:val="381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80"/>
    <w:next w:val="38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38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80"/>
    <w:next w:val="38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38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80"/>
    <w:next w:val="38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38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80"/>
    <w:next w:val="38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38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380"/>
    <w:next w:val="38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382"/>
    <w:link w:val="32"/>
    <w:uiPriority w:val="10"/>
    <w:rPr>
      <w:sz w:val="48"/>
      <w:szCs w:val="48"/>
    </w:rPr>
  </w:style>
  <w:style w:type="paragraph" w:styleId="34">
    <w:name w:val="Subtitle"/>
    <w:basedOn w:val="380"/>
    <w:next w:val="38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382"/>
    <w:link w:val="34"/>
    <w:uiPriority w:val="11"/>
    <w:rPr>
      <w:sz w:val="24"/>
      <w:szCs w:val="24"/>
    </w:rPr>
  </w:style>
  <w:style w:type="paragraph" w:styleId="36">
    <w:name w:val="Quote"/>
    <w:basedOn w:val="380"/>
    <w:next w:val="38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80"/>
    <w:next w:val="38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8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382"/>
    <w:link w:val="40"/>
    <w:uiPriority w:val="99"/>
  </w:style>
  <w:style w:type="paragraph" w:styleId="42">
    <w:name w:val="Footer"/>
    <w:basedOn w:val="380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382"/>
    <w:link w:val="42"/>
    <w:uiPriority w:val="99"/>
  </w:style>
  <w:style w:type="paragraph" w:styleId="44">
    <w:name w:val="Caption"/>
    <w:basedOn w:val="380"/>
    <w:next w:val="38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3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8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38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382"/>
    <w:uiPriority w:val="99"/>
    <w:unhideWhenUsed/>
    <w:rPr>
      <w:vertAlign w:val="superscript"/>
    </w:rPr>
  </w:style>
  <w:style w:type="paragraph" w:styleId="176">
    <w:name w:val="toc 1"/>
    <w:basedOn w:val="380"/>
    <w:next w:val="380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80"/>
    <w:next w:val="380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80"/>
    <w:next w:val="380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80"/>
    <w:next w:val="380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80"/>
    <w:next w:val="380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80"/>
    <w:next w:val="380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80"/>
    <w:next w:val="380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80"/>
    <w:next w:val="380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80"/>
    <w:next w:val="380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>
    <w:name w:val="Normal"/>
    <w:qFormat/>
  </w:style>
  <w:style w:type="paragraph" w:styleId="381">
    <w:name w:val="Heading 5"/>
    <w:basedOn w:val="380"/>
    <w:next w:val="380"/>
    <w:qFormat/>
    <w:rPr>
      <w:sz w:val="28"/>
    </w:rPr>
    <w:pPr>
      <w:keepNext/>
      <w:outlineLvl w:val="4"/>
    </w:pPr>
  </w:style>
  <w:style w:type="character" w:styleId="382" w:default="1">
    <w:name w:val="Default Paragraph Font"/>
    <w:uiPriority w:val="1"/>
    <w:semiHidden/>
    <w:unhideWhenUsed/>
  </w:style>
  <w:style w:type="table" w:styleId="3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84" w:default="1">
    <w:name w:val="No List"/>
    <w:uiPriority w:val="99"/>
    <w:semiHidden/>
    <w:unhideWhenUsed/>
  </w:style>
  <w:style w:type="paragraph" w:styleId="385" w:customStyle="1">
    <w:name w:val="ConsNormal"/>
    <w:rPr>
      <w:rFonts w:ascii="Arial" w:hAnsi="Arial" w:cs="Arial"/>
    </w:rPr>
    <w:pPr>
      <w:ind w:firstLine="720"/>
    </w:pPr>
  </w:style>
  <w:style w:type="paragraph" w:styleId="386">
    <w:name w:val="Body Text Indent"/>
    <w:basedOn w:val="380"/>
    <w:rPr>
      <w:sz w:val="28"/>
    </w:rPr>
    <w:pPr>
      <w:ind w:firstLine="720"/>
      <w:jc w:val="both"/>
    </w:pPr>
  </w:style>
  <w:style w:type="paragraph" w:styleId="387">
    <w:name w:val="Balloon Text"/>
    <w:basedOn w:val="380"/>
    <w:semiHidden/>
    <w:rPr>
      <w:rFonts w:ascii="Tahoma" w:hAnsi="Tahoma" w:cs="Tahoma"/>
      <w:sz w:val="16"/>
      <w:szCs w:val="16"/>
    </w:rPr>
  </w:style>
  <w:style w:type="paragraph" w:styleId="388" w:customStyle="1">
    <w:name w:val="Пояснит"/>
    <w:basedOn w:val="380"/>
    <w:rPr>
      <w:sz w:val="28"/>
      <w:szCs w:val="28"/>
    </w:rPr>
    <w:pPr>
      <w:ind w:firstLine="567"/>
      <w:jc w:val="both"/>
    </w:pPr>
  </w:style>
  <w:style w:type="paragraph" w:styleId="389" w:customStyle="1">
    <w:name w:val="ConsPlusNormal"/>
    <w:rPr>
      <w:rFonts w:ascii="Arial" w:hAnsi="Arial" w:cs="Arial"/>
    </w:rPr>
    <w:pPr>
      <w:ind w:firstLine="720"/>
      <w:widowControl w:val="off"/>
    </w:pPr>
  </w:style>
  <w:style w:type="paragraph" w:styleId="390" w:customStyle="1">
    <w:name w:val="ConsTitle"/>
    <w:rPr>
      <w:rFonts w:ascii="Arial" w:hAnsi="Arial" w:cs="Arial"/>
      <w:b/>
      <w:bCs/>
      <w:sz w:val="16"/>
      <w:szCs w:val="16"/>
    </w:rPr>
    <w:pPr>
      <w:ind w:right="19772"/>
      <w:widowControl w:val="off"/>
    </w:pPr>
  </w:style>
  <w:style w:type="paragraph" w:styleId="391">
    <w:name w:val="Body Text"/>
    <w:basedOn w:val="380"/>
    <w:link w:val="392"/>
    <w:rPr>
      <w:sz w:val="28"/>
    </w:rPr>
    <w:pPr>
      <w:spacing w:after="120"/>
    </w:pPr>
  </w:style>
  <w:style w:type="character" w:styleId="392" w:customStyle="1">
    <w:name w:val="Основной текст Знак"/>
    <w:basedOn w:val="382"/>
    <w:link w:val="391"/>
    <w:rPr>
      <w:sz w:val="28"/>
    </w:rPr>
  </w:style>
  <w:style w:type="paragraph" w:styleId="393">
    <w:name w:val="List Paragraph"/>
    <w:basedOn w:val="380"/>
    <w:qFormat/>
    <w:uiPriority w:val="34"/>
    <w:rPr>
      <w:rFonts w:ascii="Calibri" w:hAnsi="Calibri" w:eastAsia="Calibri"/>
      <w:sz w:val="22"/>
      <w:szCs w:val="22"/>
      <w:lang w:eastAsia="en-US"/>
    </w:rPr>
    <w:pPr>
      <w:contextualSpacing w:val="true"/>
      <w:ind w:left="720"/>
      <w:spacing w:lineRule="auto" w:line="276" w:after="200"/>
    </w:pPr>
  </w:style>
  <w:style w:type="table" w:styleId="394">
    <w:name w:val="Table Grid"/>
    <w:basedOn w:val="383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395">
    <w:name w:val="Body Text Indent 2"/>
    <w:basedOn w:val="380"/>
    <w:link w:val="396"/>
    <w:uiPriority w:val="99"/>
    <w:unhideWhenUsed/>
    <w:rPr>
      <w:rFonts w:ascii="Calibri" w:hAnsi="Calibri" w:eastAsia="Calibri"/>
      <w:sz w:val="22"/>
      <w:szCs w:val="22"/>
      <w:lang w:eastAsia="en-US"/>
    </w:rPr>
    <w:pPr>
      <w:ind w:left="283"/>
      <w:spacing w:lineRule="auto" w:line="480" w:after="120"/>
    </w:pPr>
  </w:style>
  <w:style w:type="character" w:styleId="396" w:customStyle="1">
    <w:name w:val="Основной текст с отступом 2 Знак"/>
    <w:basedOn w:val="382"/>
    <w:link w:val="395"/>
    <w:uiPriority w:val="99"/>
    <w:rPr>
      <w:rFonts w:ascii="Calibri" w:hAnsi="Calibri" w:cs="Times New Roman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s://login.consultant.ru/link/?req=doc&amp;base=LAW&amp;n=503620&amp;dst=103399" TargetMode="External"/><Relationship Id="rId9" Type="http://schemas.openxmlformats.org/officeDocument/2006/relationships/hyperlink" Target="https://login.consultant.ru/link/?req=doc&amp;base=LAW&amp;n=490805&amp;dst=100021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COMP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Игнатьев</dc:creator>
  <cp:revision>6</cp:revision>
  <dcterms:created xsi:type="dcterms:W3CDTF">2025-05-20T08:06:00Z</dcterms:created>
  <dcterms:modified xsi:type="dcterms:W3CDTF">2025-09-03T06:13:55Z</dcterms:modified>
</cp:coreProperties>
</file>