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Расчет выгод хозяйствующих субъектов, обратившихся в министерство имущественных и земельных отношений Белгородской области                         за получением государственной поддержки в виде льготной арендной платы за пользование земельными участками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Название государственной поддержки:</w:t>
      </w:r>
      <w:r>
        <w:rPr>
          <w:rFonts w:ascii="Times New Roman" w:hAnsi="Times New Roman" w:cs="Times New Roman"/>
          <w:bCs w:val="0"/>
          <w:i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льгота по арендной плате за пользование земельными участками из зем</w:t>
      </w:r>
      <w:r>
        <w:rPr>
          <w:rFonts w:ascii="Times New Roman" w:hAnsi="Times New Roman" w:cs="Times New Roman"/>
          <w:sz w:val="26"/>
          <w:szCs w:val="26"/>
        </w:rPr>
        <w:t xml:space="preserve">ель сельскохозяйственного назначения</w:t>
      </w:r>
      <w:r>
        <w:rPr>
          <w:rFonts w:ascii="Times New Roman" w:hAnsi="Times New Roman" w:cs="Times New Roman"/>
          <w:bCs w:val="0"/>
          <w:i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Субъекты предпринимательской деятельности: </w:t>
      </w:r>
      <w:r>
        <w:rPr>
          <w:rFonts w:ascii="Times New Roman" w:hAnsi="Times New Roman" w:cs="Times New Roman"/>
          <w:sz w:val="26"/>
          <w:szCs w:val="26"/>
        </w:rPr>
        <w:t xml:space="preserve">юридические лица, индивидуальные пр</w:t>
      </w:r>
      <w:r>
        <w:rPr>
          <w:rFonts w:ascii="Times New Roman" w:hAnsi="Times New Roman" w:cs="Times New Roman"/>
          <w:sz w:val="26"/>
          <w:szCs w:val="26"/>
        </w:rPr>
        <w:t xml:space="preserve">едприниматели, занимающиеся производством и переработкой продукции пчеловодства, и физические лица, содержащие медово-товарные пасеки (фермы) </w:t>
        <w:br/>
        <w:t xml:space="preserve">с количеством пчелиных семей более 100 штук</w:t>
      </w: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на территории Белгородской области.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Постановлением Правительства Белгородс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кой области от 17 декабря </w:t>
        <w:br/>
        <w:t xml:space="preserve">2012 года № 540-пп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установлен </w:t>
      </w: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льготный коэффициент 0,5 размера арендной платы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br/>
        <w:t xml:space="preserve">(в год из расчета за 1 гектар)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 за пользование  земельными участками, предоставленными юридическим лицам, индивидуальным предпринимателям  и физическим лицам, занимающимся производством и переработкой продукции пчеловодства на территории области.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/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Ставка арендной платы</w:t>
      </w:r>
      <w:r>
        <w:rPr>
          <w:rFonts w:ascii="Times New Roman" w:hAnsi="Times New Roman" w:cs="Times New Roman"/>
          <w:sz w:val="26"/>
          <w:szCs w:val="26"/>
        </w:rPr>
        <w:t xml:space="preserve"> за использование </w:t>
      </w:r>
      <w:r>
        <w:rPr>
          <w:rFonts w:ascii="Times New Roman" w:hAnsi="Times New Roman" w:cs="Times New Roman"/>
          <w:sz w:val="26"/>
          <w:szCs w:val="26"/>
        </w:rPr>
        <w:t xml:space="preserve">земель сельскохозяйственного назначения, находящихся в государственной собственности Белгородской области </w:t>
        <w:br/>
        <w:t xml:space="preserve">и государственная собственность на которые не разграничена, представленных видом угодий «пашня»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3900 руб. за 1 га</w:t>
      </w:r>
      <w:r>
        <w:rPr>
          <w:rFonts w:ascii="Times New Roman" w:hAnsi="Times New Roman" w:cs="Times New Roman"/>
          <w:sz w:val="26"/>
          <w:szCs w:val="26"/>
        </w:rPr>
        <w:t xml:space="preserve"> земель в год.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  <w:t xml:space="preserve">Ставка льготной арендной </w:t>
      </w: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плата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использование </w:t>
      </w:r>
      <w:r>
        <w:rPr>
          <w:rFonts w:ascii="Times New Roman" w:hAnsi="Times New Roman" w:cs="Times New Roman"/>
          <w:sz w:val="26"/>
          <w:szCs w:val="26"/>
        </w:rPr>
        <w:t xml:space="preserve">земель сельскохозяйственного назначения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предоставленных юридическим лицам,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индивидуальным предпринимателям  и физическим лицам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 в целях производства и переработки продукции пчеловодства -</w:t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  <w:t xml:space="preserve">1950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руб.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1 га</w:t>
      </w:r>
      <w:r>
        <w:rPr>
          <w:rFonts w:ascii="Times New Roman" w:hAnsi="Times New Roman" w:cs="Times New Roman"/>
          <w:sz w:val="26"/>
          <w:szCs w:val="26"/>
        </w:rPr>
        <w:t xml:space="preserve"> земель в год.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3900 руб.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 * 0,5)</w:t>
      </w:r>
      <w:r/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В зависимости от особенностей местности и медоносной растительности </w:t>
        <w:br/>
        <w:t xml:space="preserve">на одной стационарной пасеке в России допустимо размещать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до 100 пчелиных семей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white"/>
          <w:u w:val="none"/>
        </w:rPr>
        <w:t xml:space="preserve">, при этом расстояние между ульями должно быть не менее 3 - 3,5 м., а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white"/>
          <w:u w:val="none"/>
        </w:rPr>
        <w:t xml:space="preserve">между рядами ульев – </w:t>
        <w:br/>
        <w:t xml:space="preserve">не менее 10 м.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none"/>
          <w:u w:val="none"/>
        </w:rPr>
        <w:t xml:space="preserve">Д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ля 100 пчелодомиков понадобится 50 соток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 (0,5 га).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ab/>
        <w:t xml:space="preserve">Таким образом, стоимость арендной платы за земельный участок, необходимый </w:t>
        <w:br/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  <w:t xml:space="preserve">для размещения одной пасеки</w:t>
      </w:r>
      <w:r>
        <w:rPr>
          <w:rFonts w:ascii="Times New Roman" w:hAnsi="Times New Roman" w:eastAsia="TimesNewRoman" w:cs="Times New Roman"/>
          <w:color w:val="000000"/>
          <w:sz w:val="26"/>
          <w:szCs w:val="26"/>
          <w:highlight w:val="none"/>
        </w:rPr>
        <w:t xml:space="preserve"> - </w:t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  <w:t xml:space="preserve">975 руб. за 0,5 га земель в год. 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  <w:t xml:space="preserve">Оказание государственной поддержки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в соответствии с постановлением Правительства Белгородс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кой области от 17 декабря 2012 года № 540-пп позволит 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  <w:t xml:space="preserve">хозяйствующим субъектам, осуществляющим деятельность в сфере пчеловодсва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  <w:t xml:space="preserve"> сократить затраты на арендную плату на 50%.</w:t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b w:val="0"/>
          <w:bCs w:val="0"/>
          <w:color w:val="000000"/>
          <w:sz w:val="26"/>
          <w:szCs w:val="26"/>
          <w:highlight w:val="none"/>
        </w:rPr>
        <w:t xml:space="preserve">Исходя из анализа условий предоставления в аренду земельных участков из земель сельскохозяйственного назначения срок действия договора аренды до 49 лет. </w:t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  <w:t xml:space="preserve">Общая экономия хозяйствующего субъекта, владеющего одной стационарной пасекой составит 47,78 тыс. руб. </w:t>
      </w:r>
      <w:r>
        <w:rPr>
          <w:rFonts w:ascii="Times New Roman" w:hAnsi="Times New Roman" w:eastAsia="TimesNewRoman" w:cs="Times New Roman"/>
          <w:b/>
          <w:bCs/>
          <w:color w:val="000000"/>
          <w:sz w:val="26"/>
          <w:szCs w:val="26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7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2025-10-15T07:55:24Z</dcterms:modified>
</cp:coreProperties>
</file>