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jc w:val="center"/>
        <w:spacing w:after="0" w:line="240" w:lineRule="auto"/>
        <w:rPr>
          <w:rFonts w:ascii="Times New Roman" w:hAnsi="Times New Roman" w:eastAsia="Times New Roman"/>
          <w:bCs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  <w:bookmarkStart w:id="0" w:name="_GoBack"/>
      <w:r>
        <w:rPr>
          <w:b/>
          <w:bCs/>
          <w:i/>
          <w:iCs/>
          <w:sz w:val="28"/>
          <w:szCs w:val="28"/>
        </w:rPr>
      </w:r>
      <w:bookmarkEnd w:id="0"/>
      <w:r>
        <w:rPr>
          <w:rFonts w:ascii="Times New Roman" w:hAnsi="Times New Roman" w:eastAsia="Times New Roman"/>
          <w:b/>
          <w:bCs/>
          <w:i/>
          <w:iCs/>
          <w:sz w:val="28"/>
          <w:szCs w:val="28"/>
          <w:lang w:eastAsia="ru-RU"/>
        </w:rPr>
        <w:t xml:space="preserve">Расчет </w:t>
      </w:r>
      <w:r>
        <w:rPr>
          <w:rFonts w:ascii="Times New Roman" w:hAnsi="Times New Roman" w:eastAsia="Times New Roman"/>
          <w:b/>
          <w:bCs/>
          <w:i/>
          <w:iCs/>
          <w:sz w:val="28"/>
          <w:szCs w:val="28"/>
          <w:lang w:eastAsia="ru-RU"/>
        </w:rPr>
        <w:t xml:space="preserve">издержек </w:t>
      </w:r>
      <w:r>
        <w:rPr>
          <w:rFonts w:ascii="Times New Roman" w:hAnsi="Times New Roman" w:eastAsia="Times New Roman"/>
          <w:b/>
          <w:bCs/>
          <w:i/>
          <w:iCs/>
          <w:sz w:val="28"/>
          <w:szCs w:val="28"/>
          <w:lang w:eastAsia="ru-RU"/>
        </w:rPr>
        <w:t xml:space="preserve">хозяйствующих субъектов </w:t>
      </w:r>
      <w:r>
        <w:rPr>
          <w:rFonts w:ascii="Times New Roman" w:hAnsi="Times New Roman" w:eastAsia="Times New Roman"/>
          <w:b/>
          <w:bCs/>
          <w:i/>
          <w:iCs/>
          <w:sz w:val="28"/>
          <w:szCs w:val="28"/>
          <w:lang w:eastAsia="ru-RU"/>
        </w:rPr>
        <w:t xml:space="preserve">в 2024 г.</w:t>
      </w:r>
      <w:r>
        <w:rPr>
          <w:rFonts w:ascii="Times New Roman" w:hAnsi="Times New Roman" w:eastAsia="Times New Roman"/>
          <w:b/>
          <w:bCs/>
          <w:i/>
          <w:iCs/>
          <w:sz w:val="28"/>
          <w:szCs w:val="28"/>
          <w:lang w:eastAsia="ru-RU"/>
        </w:rPr>
        <w:t xml:space="preserve"> на </w:t>
      </w:r>
      <w:r>
        <w:rPr>
          <w:rFonts w:ascii="Times New Roman" w:hAnsi="Times New Roman" w:eastAsia="Times New Roman"/>
          <w:b/>
          <w:bCs/>
          <w:i/>
          <w:iCs/>
          <w:sz w:val="28"/>
          <w:szCs w:val="28"/>
          <w:lang w:eastAsia="ru-RU"/>
        </w:rPr>
        <w:t xml:space="preserve">предоставление </w:t>
        <w:br/>
        <w:t xml:space="preserve">пакета документов, необходимого для участия в торгах на право заключения договора о комплексном развитии территорий.</w:t>
      </w:r>
      <w:r>
        <w:rPr>
          <w:rFonts w:ascii="Times New Roman" w:hAnsi="Times New Roman" w:eastAsia="Times New Roman"/>
          <w:b/>
          <w:bCs/>
          <w:i/>
          <w:iCs/>
          <w:sz w:val="28"/>
          <w:szCs w:val="28"/>
          <w:lang w:eastAsia="ru-RU"/>
        </w:rPr>
        <w:t xml:space="preserve">  </w:t>
      </w:r>
      <w:r>
        <w:rPr>
          <w:b/>
          <w:bCs/>
          <w:i/>
          <w:iCs/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pStyle w:val="831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</w:rPr>
        <w:outlineLvl w:val="2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pStyle w:val="831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Название требования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pStyle w:val="831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редоставление пакета документов, необходимого для участия в торгах на право заключения договора о комплексном развитии территорий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pStyle w:val="831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Тип требования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pStyle w:val="831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Пакет документов для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участия в торгах на право заключения договора о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комплексном развитии территорий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pStyle w:val="831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- письменное обращение;</w:t>
      </w:r>
      <w:r>
        <w:rPr>
          <w:sz w:val="28"/>
          <w:szCs w:val="28"/>
        </w:rPr>
      </w:r>
    </w:p>
    <w:p>
      <w:pPr>
        <w:pStyle w:val="831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- инвестиционный проект о комплексном развитии территории;</w:t>
      </w:r>
      <w:r>
        <w:rPr>
          <w:sz w:val="28"/>
          <w:szCs w:val="28"/>
        </w:rPr>
      </w:r>
    </w:p>
    <w:p>
      <w:pPr>
        <w:pStyle w:val="831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- техническая документация в рамках инвестиционного проекта о комплексном развитии территории.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pStyle w:val="831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Масштаб: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pStyle w:val="831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5 (количество заинтересованных юридических лиц, которые могут выступить с инициативой о комплексном развитии территории).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pStyle w:val="831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Частота: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pStyle w:val="831"/>
        <w:jc w:val="both"/>
        <w:spacing w:after="0" w:line="240" w:lineRule="auto"/>
        <w:rPr>
          <w:rFonts w:ascii="Times New Roman" w:hAnsi="Times New Roman" w:eastAsia="Times New Roman"/>
          <w:bCs/>
          <w:i/>
          <w:sz w:val="28"/>
          <w:szCs w:val="28"/>
        </w:rPr>
      </w:pPr>
      <w:r>
        <w:rPr>
          <w:rFonts w:ascii="Times New Roman" w:hAnsi="Times New Roman" w:eastAsia="Times New Roman"/>
          <w:bCs/>
          <w:i/>
          <w:sz w:val="28"/>
          <w:szCs w:val="28"/>
          <w:lang w:eastAsia="ru-RU"/>
        </w:rPr>
        <w:t xml:space="preserve">1 </w:t>
      </w:r>
      <w:r>
        <w:rPr>
          <w:rFonts w:ascii="Times New Roman" w:hAnsi="Times New Roman" w:eastAsia="Times New Roman"/>
          <w:bCs/>
          <w:i/>
          <w:sz w:val="28"/>
          <w:szCs w:val="28"/>
          <w:lang w:eastAsia="ru-RU"/>
        </w:rPr>
        <w:t xml:space="preserve">раз в год </w:t>
      </w:r>
      <w:r>
        <w:rPr>
          <w:rFonts w:ascii="Times New Roman" w:hAnsi="Times New Roman" w:eastAsia="Times New Roman"/>
          <w:bCs/>
          <w:i/>
          <w:sz w:val="28"/>
          <w:szCs w:val="28"/>
          <w:lang w:eastAsia="ru-RU"/>
        </w:rPr>
        <w:t xml:space="preserve">(количество возможных случае</w:t>
      </w:r>
      <w:r>
        <w:rPr>
          <w:rFonts w:ascii="Times New Roman" w:hAnsi="Times New Roman" w:eastAsia="Times New Roman"/>
          <w:bCs/>
          <w:i/>
          <w:sz w:val="28"/>
          <w:szCs w:val="28"/>
          <w:lang w:eastAsia="ru-RU"/>
        </w:rPr>
        <w:t xml:space="preserve">в инициации принятия решения о комплексном развитии территории).</w:t>
      </w:r>
      <w:r>
        <w:rPr>
          <w:rFonts w:ascii="Times New Roman" w:hAnsi="Times New Roman" w:eastAsia="Times New Roman"/>
          <w:bCs/>
          <w:i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pStyle w:val="831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Действия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pStyle w:val="831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Подготовка письменного обращения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с инициативой о принятии решения о комплексном развитии территории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– 1 чел./часов;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pStyle w:val="831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Подготовка инвестиционного проекта о комплексном развитии территории –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от 2 до 10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чел./часов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pStyle w:val="831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Подготовка необходимой технической документации в рамках инвестиционного проекта о комплексном развитии территории – от 8 до 20 чел./часов;</w:t>
      </w:r>
      <w:r>
        <w:rPr>
          <w:sz w:val="28"/>
          <w:szCs w:val="28"/>
        </w:rPr>
      </w:r>
    </w:p>
    <w:p>
      <w:pPr>
        <w:pStyle w:val="831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Направление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письменного обращения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с инициативой о принятии решения о комплексном развитии территории в адрес органа местного самоуправления, на территории которого предполагается осуществление деятельности по комплексно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му развитию территории – 1 чел./часов;</w:t>
      </w:r>
      <w:r>
        <w:rPr>
          <w:sz w:val="28"/>
          <w:szCs w:val="28"/>
        </w:rPr>
      </w:r>
    </w:p>
    <w:p>
      <w:pPr>
        <w:pStyle w:val="831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sz w:val="28"/>
          <w:szCs w:val="28"/>
        </w:rPr>
      </w:r>
      <w:bookmarkStart w:id="1" w:name="dst1621"/>
      <w:r>
        <w:rPr>
          <w:sz w:val="28"/>
          <w:szCs w:val="28"/>
        </w:rPr>
      </w:r>
      <w:bookmarkEnd w:id="1"/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Способы получения результата действий: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Лично при посещении уполномоченного органа.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Список приобретений: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jc w:val="both"/>
        <w:spacing w:after="0" w:line="240" w:lineRule="auto"/>
        <w:rPr>
          <w:rFonts w:ascii="Times New Roman" w:hAnsi="Times New Roman" w:eastAsia="Times New Roman"/>
          <w:bCs/>
          <w:i/>
          <w:sz w:val="28"/>
          <w:szCs w:val="28"/>
        </w:rPr>
      </w:pPr>
      <w:r>
        <w:rPr>
          <w:rFonts w:ascii="Times New Roman" w:hAnsi="Times New Roman" w:eastAsia="Times New Roman"/>
          <w:bCs/>
          <w:i/>
          <w:sz w:val="28"/>
          <w:szCs w:val="28"/>
          <w:lang w:eastAsia="ru-RU"/>
        </w:rPr>
        <w:t xml:space="preserve">Не имеется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jc w:val="both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Оценка изменения трудозатрат и (или) потребностей в иных ресурсах органов государственной власти и органов местного самоуправления области: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jc w:val="both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Среднемесячная заработная плата по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Белгородской области в 2024 г.: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44380,00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Средняя стоимость часа работы: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jc w:val="both"/>
        <w:spacing w:after="0" w:line="240" w:lineRule="auto"/>
        <w:rPr>
          <w:rFonts w:ascii="Times New Roman" w:hAnsi="Times New Roman" w:eastAsia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252,16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 w:eastAsia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Трудозатраты: 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highlight w:val="none"/>
          <w:lang w:eastAsia="ru-RU"/>
        </w:rPr>
        <w:t xml:space="preserve">от 12 чел./часов до 32 чел./часов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8"/>
          <w:szCs w:val="28"/>
          <w:highlight w:val="none"/>
          <w:lang w:eastAsia="ru-RU"/>
        </w:rPr>
      </w:r>
      <w:r>
        <w:rPr>
          <w:sz w:val="28"/>
          <w:szCs w:val="28"/>
        </w:rPr>
      </w:r>
    </w:p>
    <w:p>
      <w:pPr>
        <w:pStyle w:val="83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Общая стоимость требования: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15129,6 руб. до 40345,6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jc w:val="both"/>
        <w:spacing w:after="0" w:line="240" w:lineRule="auto"/>
        <w:rPr>
          <w:rFonts w:ascii="Times New Roman" w:hAnsi="Times New Roman" w:eastAsia="Times New Roman"/>
          <w:bCs/>
          <w:i/>
          <w:sz w:val="24"/>
          <w:szCs w:val="24"/>
        </w:rPr>
      </w:pPr>
      <w:r>
        <w:rPr>
          <w:rFonts w:ascii="Times New Roman" w:hAnsi="Times New Roman" w:eastAsia="Times New Roman"/>
          <w:bCs/>
          <w:i/>
          <w:sz w:val="24"/>
          <w:szCs w:val="24"/>
          <w:lang w:eastAsia="ru-RU"/>
        </w:rPr>
      </w:r>
      <w:r>
        <w:rPr>
          <w:sz w:val="24"/>
          <w:szCs w:val="24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567" w:right="567" w:bottom="284" w:left="851" w:header="142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9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/>
  </w:p>
  <w:p>
    <w:pPr>
      <w:pStyle w:val="83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>
    <w:name w:val="Heading 1"/>
    <w:basedOn w:val="831"/>
    <w:next w:val="831"/>
    <w:link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4">
    <w:name w:val="Heading 1 Char"/>
    <w:link w:val="653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next w:val="831"/>
    <w:link w:val="831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32">
    <w:name w:val="Основной шрифт абзаца"/>
    <w:next w:val="832"/>
    <w:link w:val="831"/>
    <w:uiPriority w:val="1"/>
    <w:semiHidden/>
    <w:unhideWhenUsed/>
  </w:style>
  <w:style w:type="table" w:styleId="833">
    <w:name w:val="Обычная таблица"/>
    <w:next w:val="833"/>
    <w:link w:val="831"/>
    <w:uiPriority w:val="99"/>
    <w:semiHidden/>
    <w:unhideWhenUsed/>
    <w:qFormat/>
    <w:tblPr/>
  </w:style>
  <w:style w:type="numbering" w:styleId="834">
    <w:name w:val="Нет списка"/>
    <w:next w:val="834"/>
    <w:link w:val="831"/>
    <w:uiPriority w:val="99"/>
    <w:semiHidden/>
    <w:unhideWhenUsed/>
  </w:style>
  <w:style w:type="paragraph" w:styleId="835">
    <w:name w:val="Текст выноски"/>
    <w:basedOn w:val="831"/>
    <w:next w:val="835"/>
    <w:link w:val="83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6">
    <w:name w:val="Текст выноски Знак"/>
    <w:next w:val="836"/>
    <w:link w:val="835"/>
    <w:uiPriority w:val="99"/>
    <w:semiHidden/>
    <w:rPr>
      <w:rFonts w:ascii="Segoe UI" w:hAnsi="Segoe UI" w:cs="Segoe UI"/>
      <w:sz w:val="18"/>
      <w:szCs w:val="18"/>
    </w:rPr>
  </w:style>
  <w:style w:type="paragraph" w:styleId="837">
    <w:name w:val="ConsPlusNormal"/>
    <w:next w:val="837"/>
    <w:link w:val="831"/>
    <w:pPr>
      <w:widowControl w:val="off"/>
    </w:pPr>
    <w:rPr>
      <w:rFonts w:eastAsia="Times New Roman" w:cs="Calibri"/>
      <w:sz w:val="22"/>
      <w:lang w:val="ru-RU" w:eastAsia="ru-RU" w:bidi="ar-SA"/>
    </w:rPr>
  </w:style>
  <w:style w:type="character" w:styleId="838">
    <w:name w:val="Выделение"/>
    <w:next w:val="838"/>
    <w:link w:val="831"/>
    <w:uiPriority w:val="20"/>
    <w:qFormat/>
    <w:rPr>
      <w:i/>
      <w:iCs/>
    </w:rPr>
  </w:style>
  <w:style w:type="paragraph" w:styleId="839">
    <w:name w:val="Верхний колонтитул"/>
    <w:basedOn w:val="831"/>
    <w:next w:val="839"/>
    <w:link w:val="8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0">
    <w:name w:val="Верхний колонтитул Знак"/>
    <w:next w:val="840"/>
    <w:link w:val="839"/>
    <w:uiPriority w:val="99"/>
    <w:rPr>
      <w:sz w:val="22"/>
      <w:szCs w:val="22"/>
      <w:lang w:eastAsia="en-US"/>
    </w:rPr>
  </w:style>
  <w:style w:type="paragraph" w:styleId="841">
    <w:name w:val="Нижний колонтитул"/>
    <w:basedOn w:val="831"/>
    <w:next w:val="841"/>
    <w:link w:val="84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2">
    <w:name w:val="Нижний колонтитул Знак"/>
    <w:next w:val="842"/>
    <w:link w:val="841"/>
    <w:uiPriority w:val="99"/>
    <w:rPr>
      <w:sz w:val="22"/>
      <w:szCs w:val="22"/>
      <w:lang w:eastAsia="en-US"/>
    </w:rPr>
  </w:style>
  <w:style w:type="character" w:styleId="843" w:default="1">
    <w:name w:val="Default Paragraph Font"/>
    <w:uiPriority w:val="1"/>
    <w:semiHidden/>
    <w:unhideWhenUsed/>
  </w:style>
  <w:style w:type="numbering" w:styleId="844" w:default="1">
    <w:name w:val="No List"/>
    <w:uiPriority w:val="99"/>
    <w:semiHidden/>
    <w:unhideWhenUsed/>
  </w:style>
  <w:style w:type="table" w:styleId="84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31</cp:revision>
  <dcterms:created xsi:type="dcterms:W3CDTF">2018-02-06T08:42:00Z</dcterms:created>
  <dcterms:modified xsi:type="dcterms:W3CDTF">2024-05-06T11:18:55Z</dcterms:modified>
  <cp:version>917504</cp:version>
</cp:coreProperties>
</file>