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87" w:rsidRDefault="00577D87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77D87" w:rsidRDefault="00577D87">
      <w:pPr>
        <w:pStyle w:val="ConsPlusNormal"/>
        <w:outlineLvl w:val="0"/>
      </w:pPr>
    </w:p>
    <w:p w:rsidR="00577D87" w:rsidRDefault="00577D87">
      <w:pPr>
        <w:pStyle w:val="ConsPlusTitle"/>
        <w:jc w:val="center"/>
        <w:outlineLvl w:val="0"/>
      </w:pPr>
      <w:r>
        <w:t>ПОСТАНОВЛЕНИЕ</w:t>
      </w:r>
    </w:p>
    <w:p w:rsidR="00577D87" w:rsidRDefault="00577D87">
      <w:pPr>
        <w:pStyle w:val="ConsPlusTitle"/>
        <w:jc w:val="center"/>
      </w:pPr>
      <w:r>
        <w:t>ПРАВИТЕЛЬСТВА БЕЛГОРОДСКОЙ ОБЛАСТИ</w:t>
      </w:r>
    </w:p>
    <w:p w:rsidR="00577D87" w:rsidRDefault="00577D87">
      <w:pPr>
        <w:pStyle w:val="ConsPlusTitle"/>
        <w:jc w:val="center"/>
      </w:pPr>
      <w:r>
        <w:t>от 16 января 2012 г. N 12-пп</w:t>
      </w:r>
    </w:p>
    <w:p w:rsidR="00577D87" w:rsidRDefault="00577D87">
      <w:pPr>
        <w:pStyle w:val="ConsPlusTitle"/>
        <w:jc w:val="center"/>
      </w:pPr>
      <w:r>
        <w:t>Белгород</w:t>
      </w:r>
    </w:p>
    <w:p w:rsidR="00577D87" w:rsidRDefault="00577D87">
      <w:pPr>
        <w:pStyle w:val="ConsPlusTitle"/>
        <w:jc w:val="center"/>
      </w:pPr>
    </w:p>
    <w:p w:rsidR="00577D87" w:rsidRDefault="00577D87">
      <w:pPr>
        <w:pStyle w:val="ConsPlusTitle"/>
        <w:jc w:val="center"/>
      </w:pPr>
      <w:r>
        <w:t>ОБ УТВЕРЖДЕНИИ КОНЦЕПЦИИ РАЗВИТИЯ</w:t>
      </w:r>
    </w:p>
    <w:p w:rsidR="00577D87" w:rsidRDefault="00577D87">
      <w:pPr>
        <w:pStyle w:val="ConsPlusTitle"/>
        <w:jc w:val="center"/>
      </w:pPr>
      <w:r>
        <w:t>МАШИНОСТРОИТЕЛЬНОГО КОМПЛЕКСА БЕЛГОРОДСКОЙ ОБЛАСТИ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формирования механизма государственной промышленной политики, направленной на модернизацию и развитие машиностроительного комплекса области, правительство Белгородской области постановляет: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Концепцию</w:t>
        </w:r>
      </w:hyperlink>
      <w:r>
        <w:t xml:space="preserve"> развития машиностроительного комплекса </w:t>
      </w:r>
      <w:proofErr w:type="gramStart"/>
      <w:r>
        <w:t>Белгородской</w:t>
      </w:r>
      <w:proofErr w:type="gramEnd"/>
      <w:r>
        <w:t xml:space="preserve"> области (далее - Концепция, прилагается).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 xml:space="preserve">2. Рекомендовать администрациям муниципальных районов и городских округов руководствоваться положениями </w:t>
      </w:r>
      <w:hyperlink w:anchor="P29" w:history="1">
        <w:r>
          <w:rPr>
            <w:color w:val="0000FF"/>
          </w:rPr>
          <w:t>Концепции</w:t>
        </w:r>
      </w:hyperlink>
      <w:r>
        <w:t>, утвержденной в пункте 1 настоящего постановления.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>3. Контроль за исполнением постановления возложить на департамент экономического развития области (Левченко А.А.).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right"/>
      </w:pPr>
      <w:r>
        <w:t xml:space="preserve">Губернатор </w:t>
      </w:r>
      <w:proofErr w:type="gramStart"/>
      <w:r>
        <w:t>Белгородской</w:t>
      </w:r>
      <w:proofErr w:type="gramEnd"/>
      <w:r>
        <w:t xml:space="preserve"> области</w:t>
      </w:r>
    </w:p>
    <w:p w:rsidR="00577D87" w:rsidRDefault="00577D87">
      <w:pPr>
        <w:pStyle w:val="ConsPlusNormal"/>
        <w:jc w:val="right"/>
      </w:pPr>
      <w:r>
        <w:t>Е.САВЧЕНКО</w:t>
      </w:r>
    </w:p>
    <w:p w:rsidR="00577D87" w:rsidRDefault="00577D87">
      <w:pPr>
        <w:pStyle w:val="ConsPlusNormal"/>
        <w:ind w:firstLine="540"/>
        <w:jc w:val="both"/>
      </w:pPr>
    </w:p>
    <w:p w:rsidR="0091749E" w:rsidRDefault="0091749E">
      <w:pPr>
        <w:pStyle w:val="ConsPlusNormal"/>
        <w:ind w:firstLine="540"/>
        <w:jc w:val="both"/>
      </w:pPr>
    </w:p>
    <w:p w:rsidR="0091749E" w:rsidRDefault="0091749E">
      <w:pPr>
        <w:pStyle w:val="ConsPlusNormal"/>
        <w:ind w:firstLine="540"/>
        <w:jc w:val="both"/>
      </w:pPr>
    </w:p>
    <w:p w:rsidR="0091749E" w:rsidRDefault="0091749E">
      <w:pPr>
        <w:pStyle w:val="ConsPlusNormal"/>
        <w:ind w:firstLine="540"/>
        <w:jc w:val="both"/>
      </w:pPr>
    </w:p>
    <w:p w:rsidR="0091749E" w:rsidRDefault="0091749E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right"/>
        <w:outlineLvl w:val="0"/>
      </w:pPr>
      <w:r>
        <w:t>Утверждена</w:t>
      </w:r>
    </w:p>
    <w:p w:rsidR="00577D87" w:rsidRDefault="00577D87">
      <w:pPr>
        <w:pStyle w:val="ConsPlusNormal"/>
        <w:jc w:val="right"/>
      </w:pPr>
      <w:r>
        <w:t>постановлением</w:t>
      </w:r>
    </w:p>
    <w:p w:rsidR="00577D87" w:rsidRDefault="00577D87">
      <w:pPr>
        <w:pStyle w:val="ConsPlusNormal"/>
        <w:jc w:val="right"/>
      </w:pPr>
      <w:r>
        <w:t>правительства области</w:t>
      </w:r>
    </w:p>
    <w:p w:rsidR="00577D87" w:rsidRDefault="00577D87">
      <w:pPr>
        <w:pStyle w:val="ConsPlusNormal"/>
        <w:jc w:val="right"/>
      </w:pPr>
      <w:r>
        <w:t>от 16 января 2012 года N 12-пп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Title"/>
        <w:jc w:val="center"/>
      </w:pPr>
      <w:bookmarkStart w:id="0" w:name="P29"/>
      <w:bookmarkEnd w:id="0"/>
      <w:r>
        <w:t>КОНЦЕПЦИЯ</w:t>
      </w:r>
    </w:p>
    <w:p w:rsidR="00577D87" w:rsidRDefault="00577D87">
      <w:pPr>
        <w:pStyle w:val="ConsPlusTitle"/>
        <w:jc w:val="center"/>
      </w:pPr>
      <w:r>
        <w:t>РАЗВИТИЯ МАШИНОСТРОИТЕЛЬНОГО КОМПЛЕКСА БЕЛГОРОДСКОЙ ОБЛАСТИ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center"/>
        <w:outlineLvl w:val="1"/>
      </w:pPr>
      <w:r>
        <w:t>1. Назначение Концепции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>Концепция развития машиностроительного комплекса Белгородской области (далее - Концепция) является инструментом региональной промышленной политики, направленной на развитие машиностроительного комплекса области.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Реализация Концепции в рамках государственно-частного партнерства обеспечивает единый, согласованный подход к разработке областных целевых программ развития машиностроительного комплекса органами государственной власти области, общественными организациями, предприятиями машиностроительного комплекса, образовательными учреждениями, а также иными заинтересованными физическими и юридическими лицами.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center"/>
        <w:outlineLvl w:val="1"/>
      </w:pPr>
      <w:r>
        <w:lastRenderedPageBreak/>
        <w:t>2. Состояние машиностроительного комплекса области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center"/>
        <w:outlineLvl w:val="2"/>
      </w:pPr>
      <w:r>
        <w:t xml:space="preserve">2.1. Роль машиностроительного комплекса </w:t>
      </w:r>
      <w:proofErr w:type="gramStart"/>
      <w:r>
        <w:t>в</w:t>
      </w:r>
      <w:proofErr w:type="gramEnd"/>
    </w:p>
    <w:p w:rsidR="00577D87" w:rsidRDefault="00577D87">
      <w:pPr>
        <w:pStyle w:val="ConsPlusNormal"/>
        <w:jc w:val="center"/>
      </w:pPr>
      <w:r>
        <w:t xml:space="preserve">социально-экономическом </w:t>
      </w:r>
      <w:proofErr w:type="gramStart"/>
      <w:r>
        <w:t>развитии</w:t>
      </w:r>
      <w:proofErr w:type="gramEnd"/>
      <w:r>
        <w:t xml:space="preserve"> области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>Роль машиностроения определяется, прежде всего, тем, что оно тесно взаимосвязано с ведущими отраслями экономики, обеспечивает их устойчивое функционирование, наполнение потребительского рынка и является основой развития технологического ядра промышленности. Отрасль, являясь крупным потребителем продукции металлургии, химической промышленности, энергетики, транспорта и связи, содействует развитию этих и других смежных с ними отраслей.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От уровня развития машиностроения зависят важнейшие удельные показатели валового регионального продукта (материалоемкость, энергоемкость и т.д.), производительность труда в других отраслях народного хозяйства, уровень экологической безопасности промышленного производства и обороноспособность государства.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Машиностроительный комплекс области объединяет более 900 крупных, средних и малых предприятий, что составляет около 30 процентов от числа предприятий, занятых в </w:t>
      </w:r>
      <w:proofErr w:type="gramStart"/>
      <w:r>
        <w:t>промышленным</w:t>
      </w:r>
      <w:proofErr w:type="gramEnd"/>
      <w:r>
        <w:t xml:space="preserve"> производстве области. Численность работников в данном секторе составляет около 35 тыс. человек, что составляет около 20 процентов всех работающих в промышленности.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Предприятиями машиностроительного комплекса выпускаются трубопроводы высокого и низкого давления, </w:t>
      </w:r>
      <w:proofErr w:type="spellStart"/>
      <w:r>
        <w:t>сильфонные</w:t>
      </w:r>
      <w:proofErr w:type="spellEnd"/>
      <w:r>
        <w:t xml:space="preserve"> компенсаторы, горнорудное оборудование и запасные части, котельное оборудование, хлебопекарное оборудование, автотракторное электрооборудование, сельскохозяйственные машины и оборудование, железнодорожные и автомобильные цистерны, стальные конструкции круглого и квадратного сечения, металлорежущий инструмент и другое.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В настоящее время машиностроительный комплекс области представляет собой совокупность видов экономических деятельности обрабатывающих производств, а также интеллектуальный потенциал работников машиностроительной отрасли. Он включает такие виды деятельности, как производство готовых металлических изделий, производство машин и оборудования, производство электрооборудования, электронного и оптического оборудования, производство транспортных средств и оборудования, удельный вес которых в общем объеме отгруженной промышленной продукции за 2010 год составил 54,4 процента; 28,3 процента, 15,3 процента и 2 процента соответственно.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В структуре промышленного производства области удельный вес машиностроительного комплекса составляет 7,4 процента, что в пять раз ниже уровня в экономически развитых странах, где он достигает 35 - 50 процентов. В структуре обрабатывающих производств доля машиностроительного комплекса составляет 9,7 процента, что меньше доли производства пищевых продуктов (51,3 процента) и металлургического производства (25,1 процента).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Таким образом, на данном этапе роль и значение машиностроительного комплекса не является определяющим вектором в социально-экономическом развитии области.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В настоящее время машиностроительный комплекс является одним из основных плацдармов диверсификации экономики области и придания ей инновационного характера.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center"/>
        <w:outlineLvl w:val="2"/>
      </w:pPr>
      <w:r>
        <w:t>2.2. Основные проблемы машиностроительного комплекса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proofErr w:type="gramStart"/>
      <w:r>
        <w:t xml:space="preserve">Причины падения производства в машиностроительном комплексе области в кризисный период во многом схожи с причинами снижения производств в других отраслях экономики, однако имеют ряд особенностей, характерных для машиностроительных предприятий: относительно низкий уровень рентабельности производства, высокий уровень накладных расходов, энергоемкости и металлоемкости технологий, длительный производственный цикл и, </w:t>
      </w:r>
      <w:r>
        <w:lastRenderedPageBreak/>
        <w:t>как следствие, длительный период возвратности инвестиций.</w:t>
      </w:r>
      <w:proofErr w:type="gramEnd"/>
      <w:r>
        <w:t xml:space="preserve"> Машиностроительные предприятия имеют также относительно низкий уровень фондоотдачи, высокий уровень специализации, потребность в дорогостоящем высокотехнологичном оборудовании и, безусловно, в высококвалифицированных инженерно-технических и рабочих кадрах.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В посткризисный период наметилась тенденция наращивания объемов производства в машиностроительном комплексе. Основными факторами, обусловившими этот рост, стали развитие процессов </w:t>
      </w:r>
      <w:proofErr w:type="spellStart"/>
      <w:r>
        <w:t>импортозамещения</w:t>
      </w:r>
      <w:proofErr w:type="spellEnd"/>
      <w:r>
        <w:t xml:space="preserve">, проведение оптимизации мощностей на предприятиях, освоение новой техники, рост объемов поставок на экспорт отдельных видов машиностроительной продукции. Некоторые предприятия, теряя количественные показатели в производстве продукции, все же решали вопросы повышения качества продукции и обновления ассортимента выпускаемых изделий. Однако неразвитость </w:t>
      </w:r>
      <w:proofErr w:type="gramStart"/>
      <w:r>
        <w:t>внутреннего</w:t>
      </w:r>
      <w:proofErr w:type="gramEnd"/>
      <w:r>
        <w:t xml:space="preserve"> рынка не позволила в полной мере наладить массовый сбыт производимой продукции и успешно справиться с финансовыми проблемами.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Кратковременный всплеск роста производства не позволил решить главную задачу - провести модернизацию оборудования и технологий, прежде всего, из-за недостаточных инвестиций в основной капитал и низкой инновационной восприимчивости предприятий.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В настоящее время в структуре машиностроительного комплекса объединено около 100 крупных и средних предприятий. В зависимости от того, на какой рынок ориентирована продукция, выпускаемая предприятиями, их условно можно объединить в группы: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группа предприятий энергетического и строительного машиностроения, развитие которых определяется инвестиционной активностью топливно-энергетического и строительного комплексов;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группа предприятий сельскохозяйственного машиностроения, машиностроения для перерабатывающих отраслей агропромышленного комплекса, зависящих от платежеспособности сельхозпроизводителей и переработчиков сельскохозяйственной продукции, а также частично от спроса населения;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группа предприятий горнорудного машиностроения, развитие которых определяется инвестиционной активностью горнодобывающего комплекса;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группа предприятий, участвующих в выполнении заказов для оборонно-промышленного комплекса.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В структуре инвестиций в основной капитал в промышленном производстве доля машиностроительного комплекса составляет более 3 процентов, в структуре инвестиций всей экономики области - чуть более 1 процента. Уровень инновационной активности на предприятиях остается низким.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Выработка продукции на одного работника в машиностроении очень низкая, в среднем она колеблется от 50 до 120 тыс. руб. в месяц на одного работника. Соответственно и уровень зарплаты в машиностроении более чем на треть ниже, чем, например, в металлургическом производстве и на горнодобывающих предприятиях.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Степень износа основных фондов составляет 40 - 50 процентов, коэффициент обновления - 6 - 12 процентов в год, в результате чего продукция недостаточно конкурентоспособна, невысокие объемы продаж, и как следствие, нехватка финансовых средств на обновление оборудования.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Отсутствие со стороны государства единой промышленной политики не позволяет предприятиям провести модернизацию и техническое перевооружение производства с целью перехода на инновационный путь развития.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lastRenderedPageBreak/>
        <w:t>Остается низким уровень подготовки выпускников учреждений высшего, среднего и начального профессионального образования - основного источника кадрового потенциала ввиду их недостаточной практической подготовки на современном оборудовании, незнания передовых технологий, падения престижа инженерно-технических специальностей и рабочих профессий.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Таким образом, основными проблемами машиностроительного комплекса являются: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моральный и физический износ оборудования и технологий;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дефицит квалифицированных кадров;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дефицит денежных ресурсов;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наличие избыточных производственных мощностей и соответственно крайне высокие издержки на их содержание;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морально устаревшая инфраструктура производственных мощностей;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недостаточно развитая система производственной кооперации (</w:t>
      </w:r>
      <w:proofErr w:type="gramStart"/>
      <w:r>
        <w:t>промышленный</w:t>
      </w:r>
      <w:proofErr w:type="gramEnd"/>
      <w:r>
        <w:t xml:space="preserve"> </w:t>
      </w:r>
      <w:proofErr w:type="spellStart"/>
      <w:r>
        <w:t>субконтрактинг</w:t>
      </w:r>
      <w:proofErr w:type="spellEnd"/>
      <w:r>
        <w:t>), особенно в форме малого и среднего бизнеса;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неравные условия конкуренции на рынке с зарубежными производителями аналогичной продукции;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опережающий рост цен на продукцию и услуги естественных монополий;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малоэффективное взаимодействие финансово-кредитных организаций с предприятиями.</w:t>
      </w:r>
    </w:p>
    <w:p w:rsidR="00577D87" w:rsidRDefault="00577D87">
      <w:pPr>
        <w:pStyle w:val="ConsPlusNormal"/>
        <w:spacing w:before="220"/>
        <w:ind w:firstLine="540"/>
        <w:jc w:val="both"/>
      </w:pPr>
      <w:proofErr w:type="gramStart"/>
      <w:r>
        <w:t>Вместе с тем главной причиной создавшегося положения является отсутствие обоснованной, базирующейся на достижениях науки и техники единой государственной стратегии преобразования и опережающего развития отечественного машиностроения, направленной на определение и формирование экономически обоснованных и динамично развивающихся приоритетных секторов машиностроительного комплекса, отвечающих современным требованиям и ресурсным возможностям страны, а также на повышение эффективности их использования в целях развития машиностроения в целом и</w:t>
      </w:r>
      <w:proofErr w:type="gramEnd"/>
      <w:r>
        <w:t xml:space="preserve"> обеспечения экономической, технологической и политической независимости России.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center"/>
        <w:outlineLvl w:val="1"/>
      </w:pPr>
      <w:r>
        <w:t>3. Потенциал развития машиностроительного комплекса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 xml:space="preserve">Объем </w:t>
      </w:r>
      <w:proofErr w:type="gramStart"/>
      <w:r>
        <w:t>российского</w:t>
      </w:r>
      <w:proofErr w:type="gramEnd"/>
      <w:r>
        <w:t xml:space="preserve"> рынка машиностроительной продукции, включая и оборонную, прогнозируется специалистами только на ближайшую перспективу в объеме около 1,5 трлн. руб., и в дальнейшем с развитием потребностей отраслей экономики он будет возрастать.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Важным резервом развития машиностроения является малый и средний бизнес. В экономически развитых </w:t>
      </w:r>
      <w:proofErr w:type="gramStart"/>
      <w:r>
        <w:t>странах</w:t>
      </w:r>
      <w:proofErr w:type="gramEnd"/>
      <w:r>
        <w:t xml:space="preserve"> главный интегратор проекта занимается только сборкой, логистикой и продажами, а все остальное производство передается малому и среднему бизнесу. В нашей стране пока сохраняется прежняя система, когда одно предприятие делает практически все - от переработки сырья до выпуска готового продукта. Поэтому для выпуска конкурентоспособной продукции необходимо следовать указанной общемировой тенденции. Следует иметь в виду, что именно малый и средний бизнес определяет инновационное развитие общества в силу его многочисленности.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В машиностроительном </w:t>
      </w:r>
      <w:proofErr w:type="gramStart"/>
      <w:r>
        <w:t>комплексе</w:t>
      </w:r>
      <w:proofErr w:type="gramEnd"/>
      <w:r>
        <w:t xml:space="preserve"> области имеется мощный производственный потенциал. На территории области динамично развиваются горно-металлургический, агропромышленный и строительный комплексы. Кроме того имеются определенные перспективы участия предприятий в реализации проектов развития энергетического и оборонно-промышленного комплексов </w:t>
      </w:r>
      <w:r>
        <w:lastRenderedPageBreak/>
        <w:t>России.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В этих целях существует необходимость выделения наиболее приоритетных направлений развития машиностроительного комплекса: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изготовление машин и оборудования для агропромышленного комплекса;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изготовление оборудования и комплектующих изделий для добывающих отраслей (</w:t>
      </w:r>
      <w:proofErr w:type="gramStart"/>
      <w:r>
        <w:t>горнорудная</w:t>
      </w:r>
      <w:proofErr w:type="gramEnd"/>
      <w:r>
        <w:t xml:space="preserve"> и нефтедобывающая);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участие в реализации проектов развития биоэнергетики;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изготовление машин и оборудования, металлоконструкций для строительной отрасли;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изготовление машин и оборудования для переработки сельскохозяйственной продукции;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получение заказов для нужд оборонно-промышленного комплекса;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получение заказов для нужд энергетического комплекса.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Таким образом, есть основания считать, что область располагает необходимыми возможностями для решения задачи модернизации и обеспечения опережающего развития машиностроения. Для использования в этих целях имеющегося потенциала необходимо формирование эффективной политики в машиностроительной отрасли, которая </w:t>
      </w:r>
      <w:proofErr w:type="gramStart"/>
      <w:r>
        <w:t>соответствовала бы современным условиям и могла</w:t>
      </w:r>
      <w:proofErr w:type="gramEnd"/>
      <w:r>
        <w:t xml:space="preserve"> бы обеспечить системность и многоаспектность процесса преобразований.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В настоящее время в области происходит консолидация усилий органов государственной власти, общественных организаций и хозяйствующих субъектов промышленного производства области, направленных на развитие машиностроительного комплекса, о чем свидетельствуют создание и активная деятельность Ассоциации машиностроителей Белгородской области. Эта организация готова взять на себя ответственность за координацию деятельности по формированию стратегии модернизации и развития машиностроительного комплекса и решение других важнейших проблем машиностроения.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center"/>
        <w:outlineLvl w:val="1"/>
      </w:pPr>
      <w:r>
        <w:t>4. Механизмы реализации Концепции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>Реализация Концепции и ее успех во многом зависят от эффективного взаимодействия машиностроительных предприятий с органами государственной власти, Ассоциацией машиностроителей Белгородской области, научными организациями, учреждениями начального, среднего и высшего профессионального образования, российскими и зарубежными инвесторами.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Основой механизма реализации Концепции должны стать областные целевые программы развития машиностроительного комплекса области по приоритетным направлениям.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Достижение поставленной цели во многом зависит от эффективности </w:t>
      </w:r>
      <w:proofErr w:type="gramStart"/>
      <w:r>
        <w:t>государственного</w:t>
      </w:r>
      <w:proofErr w:type="gramEnd"/>
      <w:r>
        <w:t xml:space="preserve"> управления и государственной поддержки предприятий.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center"/>
        <w:outlineLvl w:val="2"/>
      </w:pPr>
      <w:r>
        <w:t>4.1. Меры государственной поддержки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>Объектом государственной поддержки должен быть машиностроительный комплекс в совокупности его предприятий. При определении приоритетов в государственной поддержке тех или иных направлений развития машиностроительного комплекса целесообразно исходить, прежде всего, из необходимости обеспечения инновационного развития.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Государственная поддержка предоставляется в соответствии с действующим </w:t>
      </w:r>
      <w:r>
        <w:lastRenderedPageBreak/>
        <w:t>законодательством в следующих формах: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понижение налоговой ставки по налогу на прибыль организаций, подлежащему зачислению в областной бюджет;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предоставление налоговых льгот по налогу на имущество организаций;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субсидирование процентной ставки по кредитам, привлеченным для реализации инвестиционных проектов, договорам лизинга в порядке и размерах, установленных нормативным правовым актом области;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предоставление на конкурсной основе государственной гарантии области и муниципальной гарантии по банковским кредитам для реализации наиболее важных инвестиционных проектов в порядке и размерах, установленных нормативными правовыми актами области;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предоставление в аренду государственного имущества области на льготных условиях;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финансирование программ развития машиностроения на долевых началах с другими участниками;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компенсация части таможенных платежей за ввозимое технологическое оборудование, не производимое и не имеющее аналогов в Российской Федерации;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- предоставление на конкурсной основе грантов по поддержке технологических инноваций: проведение научно-исследовательских и опытно-конструкторских работ, разработка и проектирование новых образцов инновационной промышленной продукции, </w:t>
      </w:r>
      <w:proofErr w:type="spellStart"/>
      <w:r>
        <w:t>софинансирование</w:t>
      </w:r>
      <w:proofErr w:type="spellEnd"/>
      <w:r>
        <w:t xml:space="preserve"> услуг по патентованию и сертификации выпускаемой продукции, внедрение энергосберегающих технологий, приобретение патентов и лицензий, программного обеспечения, приобретение машин и оборудования, связанных с технологическими инновациями;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обеспечение гарантии на участие машиностроительных предприятий области в торгах, проводимых для нужд оборонно-промышленного и энергетического комплексов Российской Федерации, за счет средств областного бюджета;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поддержка машиностроительных предприятий, на базе которых учреждениями начального и среднего профессионального образования создаются учебные места (кафедры) по подготовке кадров востребованных профессий.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center"/>
        <w:outlineLvl w:val="2"/>
      </w:pPr>
      <w:r>
        <w:t xml:space="preserve">4.2. Критерии выбора приоритетов </w:t>
      </w:r>
      <w:proofErr w:type="gramStart"/>
      <w:r>
        <w:t>для</w:t>
      </w:r>
      <w:proofErr w:type="gramEnd"/>
    </w:p>
    <w:p w:rsidR="00577D87" w:rsidRDefault="00577D87">
      <w:pPr>
        <w:pStyle w:val="ConsPlusNormal"/>
        <w:jc w:val="center"/>
      </w:pPr>
      <w:r>
        <w:t>государственной поддержки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>При оказании государственной поддержки субъектам промышленной деятельности приоритетными являются следующие критерии: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выпуск инновационной продукции;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выпуск высокотехнологичной и наукоемкой продукции;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- внедрение </w:t>
      </w:r>
      <w:proofErr w:type="spellStart"/>
      <w:r>
        <w:t>энергоэффективных</w:t>
      </w:r>
      <w:proofErr w:type="spellEnd"/>
      <w:r>
        <w:t xml:space="preserve"> и энергосберегающих технологий;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модернизация и техническое перевооружение производства;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создание новых рабочих мест.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качестве</w:t>
      </w:r>
      <w:proofErr w:type="gramEnd"/>
      <w:r>
        <w:t xml:space="preserve"> важнейшего условия при оказании государственной поддержки должен рассматриваться объем собственных инвестиционных ресурсов предприятия, его собственников, а </w:t>
      </w:r>
      <w:r>
        <w:lastRenderedPageBreak/>
        <w:t>также такие принципы, как срочность, возвратность государственной поддержки, объем ранее оказанной государственной поддержки и эффективность ее использования.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center"/>
        <w:outlineLvl w:val="2"/>
      </w:pPr>
      <w:r>
        <w:t>4.3. Ресурсное обеспечение Концепции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>Основными ресурсами реализации Концепции являются: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средства, предусмотренные федеральными и областными целевыми программами;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собственные средства предприятий;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привлеченные инвестиции - инвестиции собственников, средства внебюджетных фондов, кредитные средства;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средства бюджета области и бюджетов муниципальных образований области;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иные источники финансирования.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center"/>
        <w:outlineLvl w:val="2"/>
      </w:pPr>
      <w:r>
        <w:t>4.4. Организационно-техническое обеспечение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>Организационно-техническое обеспечение осуществляется в следующих формах: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создание интегрированных структур (альянсы, консорциумы, ассоциации, промышленные холдинги и т.д.) с целью интеграции машиностроительных предприятий в получении и выполнении государственных заказов для оборонно-промышленного и энергетического комплексов;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- создание регионального центра </w:t>
      </w:r>
      <w:proofErr w:type="spellStart"/>
      <w:r>
        <w:t>субконтрактации</w:t>
      </w:r>
      <w:proofErr w:type="spellEnd"/>
      <w:r>
        <w:t>, направленного на развитие и установление кооперационных и межрегиональных связей;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создание центров трансфера технологий и центров коллективного пользования производственным, научным и экспериментальным оборудованием на базе региональных учреждений высшего профессионального образования с участием машиностроительных предприятий с целью кооперации в разработке и внедрении новых технологий, подготовке квалифицированных инженерно-технических кадров;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использование Интернет-ресурса для размещения информации о производственно-технологическом потенциале предприятий машиностроительного комплекса, направленного на развитие и установление кооперационных и межрегиональных связей;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взаимодействие с кредитными организациями, расположенными на территории области, в вопросе разработки целевого льготного кредитного продукта для машиностроительных предприятий области, реализующих инновационные проекты;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создание на машиностроительных предприятиях совместных произво</w:t>
      </w:r>
      <w:proofErr w:type="gramStart"/>
      <w:r>
        <w:t>дств с в</w:t>
      </w:r>
      <w:proofErr w:type="gramEnd"/>
      <w:r>
        <w:t>едущими зарубежными производителями, поставляющими технологическое оборудование для предприятий агропромышленного комплекса, реализующих мероприятия в рамках областных целевых программ, направленных на создание конкурентоспособного сельскохозяйственного производства и его динамичное развитие;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- проведение протекционистской политики </w:t>
      </w:r>
      <w:proofErr w:type="gramStart"/>
      <w:r>
        <w:t>в рамках действующего законодательства в федеральных органах государственной власти с целью получения для предприятий машиностроительного комплекса контрактов на поставку</w:t>
      </w:r>
      <w:proofErr w:type="gramEnd"/>
      <w:r>
        <w:t xml:space="preserve"> продукции для федеральных нужд; включения предприятий машиностроительного комплекса области в федеральные целевые программы, в том числе программы, направленные на развитие оборонно-промышленного, энергетического и агропромышленного комплексов;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lastRenderedPageBreak/>
        <w:t>- включение машиностроительных предприятий области в сводный реестр организаций оборонно-промышленного комплекса с целью получения субсидий на возмещение части затрат на уплату процентов по кредитам, полученным в российских кредитных организациях и государственной корпорации "Внешэкономбанк";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формирование перечней оборудования для возможного изготовления машиностроительными предприятиями для предприятий горнодобывающего и агропромышленного комплексов.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center"/>
        <w:outlineLvl w:val="2"/>
      </w:pPr>
      <w:r>
        <w:t>4.5. Информационно-образовательное обеспечение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>С целью подготовки квалифицированных рабочих кадров ведущих профессий основными мероприятиями являются: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вхождение представителей машиностроительных предприятий области в состав наблюдательных (попечительских) советов учреждений начального и среднего профессионального образования;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формирование и реализация образовательных программ с участием машиностроительных предприятий;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формирование заказа на подготовку кадров востребованных профессий;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оснащение учебно-производственной базы учреждений начального и среднего профессионального образования современным оборудованием, в том числе за счет средств машиностроительных предприятий.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С целью популяризации профессий машиностроительной отрасли основными мероприятиями являются: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профориентация среди выпускников общеобразовательных учреждений (экскурсии на предприятия, беседы, распространение агитационных материалов), мотивирующая выбор профессии, востребованной на региональном рынке труда;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разработка совместно с региональными средствами массовой информации программ о машиностроительных предприятиях и реализуемых проектах, в том числе с областными телевизионными компаниями.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center"/>
        <w:outlineLvl w:val="1"/>
      </w:pPr>
      <w:r>
        <w:t>5. Объекты и субъекты реализации Концепции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>Объектами реализации Концепции являются целевые программы по приоритетным направления развития машиностроительного комплекса области.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При определении субъектов реализации Концепции следует исходить из того, что проблемы машиностроения можно решить только программным методом на комплексной основе, в результате скоординированных целевых и адресных действий законодательной и исполнительной власти, машиностроительных предприятий, научных и образовательных учреждений и общественных организаций.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Структура и содержание целевых программ развития машиностроительного комплекса области (далее - Программы) разрабатывается 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31 августа 2009 года N 295-пп "Об утверждении Порядка принятия решений о разработке долгосрочных целевых программ Белгородской области, их формирования, реализации и оценки эффективности".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Реализация Программ должна обеспечить: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lastRenderedPageBreak/>
        <w:t>- преодоление технологического отставания машиностроения от ведущих стран мира на основе инновационного обновления отрасли и диверсификации производства;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удовлетворение запросов потребителей в современной машиностроительной продукции, отвечающей перспективным мировым требованиям по экономической эффективности, экологическим характеристикам и ресурсосбережению;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увеличение экспорта машиностроительной продукции;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импортозамещение</w:t>
      </w:r>
      <w:proofErr w:type="spellEnd"/>
      <w:r>
        <w:t>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превращение машиностроения в конкурентоспособную отрасль в условиях усиления глобальной конкуренции;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обеспечение занятости населения;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стабильные поступления в бюджеты всех уровней.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jc w:val="center"/>
        <w:outlineLvl w:val="1"/>
      </w:pPr>
      <w:r>
        <w:t>6. Ожидаемые результаты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  <w:r>
        <w:t>Основными результатами реализации настоящей Концепции должны стать: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повышение конкурентоспособности продукции на российском и международном рынках;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обеспечение устойчивого функционирования машиностроительных предприятий области;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формирование благоприятного инвестиционного и предпринимательского климата, увеличение притока инвестиций на территорию области;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повышение качества жизни населения области благодаря формированию динамичного и конкурентоспособного машиностроительного комплекса и высокой деловой активности в регионе;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создание экономических условий, способствующих эффективной занятости населения и позволяющих трудоспособному населению обеспечить достойный уровень жизни за счет собственных доходов.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качестве</w:t>
      </w:r>
      <w:proofErr w:type="gramEnd"/>
      <w:r>
        <w:t xml:space="preserve"> основных индикаторов результата реализации Концепции применяются: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динамика объема промышленного производства;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динамика поступления налогов и других обязательных платежей от машиностроительных предприятий области;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рост инвестиций в экономику области;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рост реальных денежных доходов работников, занятых в машиностроительном комплексе;</w:t>
      </w:r>
    </w:p>
    <w:p w:rsidR="00577D87" w:rsidRDefault="00577D87">
      <w:pPr>
        <w:pStyle w:val="ConsPlusNormal"/>
        <w:spacing w:before="220"/>
        <w:ind w:firstLine="540"/>
        <w:jc w:val="both"/>
      </w:pPr>
      <w:r>
        <w:t>- количество созданных рабочих мест.</w:t>
      </w: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ind w:firstLine="540"/>
        <w:jc w:val="both"/>
      </w:pPr>
    </w:p>
    <w:p w:rsidR="00577D87" w:rsidRDefault="00577D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73CC" w:rsidRDefault="00C973CC">
      <w:bookmarkStart w:id="1" w:name="_GoBack"/>
      <w:bookmarkEnd w:id="1"/>
    </w:p>
    <w:sectPr w:rsidR="00C973CC" w:rsidSect="008F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87"/>
    <w:rsid w:val="00577D87"/>
    <w:rsid w:val="0091749E"/>
    <w:rsid w:val="00C9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7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7D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7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7D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F08200143AE540B78AA18698D7BAEC067EE3CFCA030CDFB4BCB2B3075E1A44x2c5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3555</Words>
  <Characters>20268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Бодякова Ирина Валерьевна</dc:creator>
  <cp:lastModifiedBy>Бодякова Ирина Валерьевна</cp:lastModifiedBy>
  <cp:revision>3</cp:revision>
  <cp:lastPrinted>2018-05-03T05:52:00Z</cp:lastPrinted>
  <dcterms:created xsi:type="dcterms:W3CDTF">2018-04-27T09:28:00Z</dcterms:created>
  <dcterms:modified xsi:type="dcterms:W3CDTF">2018-05-03T05:53:00Z</dcterms:modified>
</cp:coreProperties>
</file>