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33"/>
        <w:jc w:val="center"/>
        <w:rPr>
          <w:rFonts w:ascii="Times New Roman" w:hAnsi="Times New Roman" w:cs="Times New Roman"/>
          <w:b/>
          <w:sz w:val="26"/>
          <w:szCs w:val="26"/>
        </w:rPr>
      </w:pPr>
      <w:r/>
      <w:bookmarkStart w:id="0" w:name="P439"/>
      <w:r/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Сводный отчет</w:t>
      </w:r>
      <w:r/>
    </w:p>
    <w:p>
      <w:pPr>
        <w:pStyle w:val="83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результатах проведения оценки регулирующего воздействия</w:t>
      </w:r>
      <w:r/>
    </w:p>
    <w:p>
      <w:pPr>
        <w:pStyle w:val="83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проекта нормативного правового акта</w:t>
      </w:r>
      <w:r/>
    </w:p>
    <w:p>
      <w:pPr>
        <w:pStyle w:val="83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1. Общая информация: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1.1. Орган-разработчик (инициатор проекта закона Белгородской области): </w:t>
      </w:r>
      <w:r>
        <w:rPr>
          <w:rFonts w:ascii="Times New Roman" w:hAnsi="Times New Roman" w:eastAsia="Calibri" w:cs="Times New Roman"/>
          <w:sz w:val="26"/>
          <w:szCs w:val="26"/>
          <w:highlight w:val="none"/>
          <w:lang w:eastAsia="ru-RU"/>
        </w:rPr>
        <w:t xml:space="preserve">Белгородская областная Дума.</w:t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1.2. Вид и наименование проекта нормативного правового акта: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Проект закона Белгородской области «О внесении изменений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br/>
        <w:t xml:space="preserve">в закон Белгородской области «О регулировании отдельных вопросов в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сфере розничной продажи алкогольной продукции»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1.3. Сроки проведения публичного обсуждения проекта нормативного правового акта: с «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09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 «22» августа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2024 года.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1.4. Степень регулирующего воздействия проекта нормативного правового акта: Средняя.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Проект нормативного правовог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 акта содержит положения, изменяющие ранее предусмотренные нормативными правовыми актами Белгородской области обязанности для хозяйствующих субъектов, осуществляющих розничную продажу алкогольной продукции на территории Белгородской области. Проект закона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ограничивает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время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розничной продажи алкогольной продукции при оказании услуг общественного питания в объектах общественного питания (за исключением ресторанов), расположенных в многоквартирных домах и (или) на прилегающих к ним территориях с 22.00 часов до 10.00 часов.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1.5. Контактная информация об исполнителе (составителе отчета об ОРВ):</w:t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Ф.И.О.: Боровской Максим Вячеславович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Должность: консультант отдела регионального контроля департамента потребительского рынка министерства сельского хозяйства и продовольствия Белгородской области, контактный телефон: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Тел.: (4722) 32-51-89. Адрес электронной почты: borovskoy@belapk.ru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 Описание проблемы, на решение которой направлено вводимое правовое регулирование: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2.1. Проблема, на решение которой направлен предлагаемый способ правового регулирования: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Реализация </w:t>
      </w:r>
      <w:r>
        <w:rPr>
          <w:rFonts w:ascii="Times New Roman" w:hAnsi="Times New Roman" w:eastAsia="Calibri" w:cs="Times New Roman"/>
          <w:sz w:val="26"/>
          <w:szCs w:val="26"/>
        </w:rPr>
        <w:t xml:space="preserve">алкогольной продукции</w:t>
      </w:r>
      <w:r>
        <w:rPr>
          <w:rFonts w:ascii="Times New Roman" w:hAnsi="Times New Roman" w:eastAsia="Calibri" w:cs="Times New Roman"/>
          <w:sz w:val="26"/>
          <w:szCs w:val="26"/>
        </w:rPr>
        <w:t xml:space="preserve"> в объ</w:t>
      </w:r>
      <w:r>
        <w:rPr>
          <w:rFonts w:ascii="Times New Roman" w:hAnsi="Times New Roman" w:eastAsia="Calibri" w:cs="Times New Roman"/>
          <w:sz w:val="26"/>
          <w:szCs w:val="26"/>
        </w:rPr>
        <w:t xml:space="preserve">ектах общественного питания, расположенных в многоквартирных домах и на прилегающих к ним территориях, </w:t>
      </w:r>
      <w:r>
        <w:rPr>
          <w:rFonts w:ascii="Times New Roman" w:hAnsi="Times New Roman" w:eastAsia="Calibri" w:cs="Times New Roman"/>
          <w:sz w:val="26"/>
          <w:szCs w:val="26"/>
        </w:rPr>
        <w:br/>
      </w:r>
      <w:r>
        <w:rPr>
          <w:rFonts w:ascii="Times New Roman" w:hAnsi="Times New Roman" w:eastAsia="Calibri" w:cs="Times New Roman"/>
          <w:sz w:val="26"/>
          <w:szCs w:val="26"/>
        </w:rPr>
        <w:t xml:space="preserve">в которых осуществляется розничная продажа алког</w:t>
      </w:r>
      <w:r>
        <w:rPr>
          <w:rFonts w:ascii="Times New Roman" w:hAnsi="Times New Roman" w:eastAsia="Calibri" w:cs="Times New Roman"/>
          <w:sz w:val="26"/>
          <w:szCs w:val="26"/>
        </w:rPr>
        <w:t xml:space="preserve">ольной продукции при оказании услуг общественного питания, в том числе круглосуточная розничная продажа алкогольной продукции, что способствует нарушению в вечернее и ночное время тишины и общественного порядка, в том числе во дворах многоквартирных домов.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2.2. Информация о возникновении и выявлении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Проблема возникла в связи с регулярным поступлением обращений граждан относительно работающих допоздна предприятий общепита</w:t>
      </w:r>
      <w:r>
        <w:rPr>
          <w:rFonts w:ascii="Times New Roman" w:hAnsi="Times New Roman" w:eastAsia="Calibri" w:cs="Times New Roman"/>
          <w:sz w:val="26"/>
          <w:szCs w:val="26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</w:rPr>
        <w:t xml:space="preserve">в многоквартирных </w:t>
      </w:r>
      <w:r>
        <w:rPr>
          <w:rFonts w:ascii="Times New Roman" w:hAnsi="Times New Roman" w:eastAsia="Calibri" w:cs="Times New Roman"/>
          <w:sz w:val="26"/>
          <w:szCs w:val="26"/>
        </w:rPr>
        <w:t xml:space="preserve">домах, то есть в непосредственной близости от жилых помещений, что препятствует нормальному отдыху в ночное время.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2.3. Негативные эффекты, возникающие в связи с наличием рассматриваемой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</w:t>
      </w:r>
      <w:r>
        <w:rPr>
          <w:rFonts w:ascii="Times New Roman" w:hAnsi="Times New Roman" w:eastAsia="Calibri" w:cs="Times New Roman"/>
          <w:sz w:val="26"/>
          <w:szCs w:val="26"/>
        </w:rPr>
        <w:t xml:space="preserve"> </w:t>
      </w:r>
      <w:r>
        <w:rPr>
          <w:rFonts w:ascii="Times New Roman" w:hAnsi="Times New Roman" w:eastAsia="Calibri" w:cs="Times New Roman"/>
          <w:sz w:val="26"/>
          <w:szCs w:val="26"/>
        </w:rPr>
        <w:t xml:space="preserve">нарушение тишины и общественного порядка в вечернее и ночное время во дворах многоквартирных домов и на прилегающих к ним территориях;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</w:t>
      </w:r>
      <w:r>
        <w:rPr>
          <w:rFonts w:ascii="Times New Roman" w:hAnsi="Times New Roman" w:eastAsia="Calibri" w:cs="Times New Roman"/>
          <w:sz w:val="26"/>
          <w:szCs w:val="26"/>
        </w:rPr>
        <w:t xml:space="preserve"> </w:t>
      </w:r>
      <w:r>
        <w:rPr>
          <w:rFonts w:ascii="Times New Roman" w:hAnsi="Times New Roman" w:eastAsia="Calibri" w:cs="Times New Roman"/>
          <w:sz w:val="26"/>
          <w:szCs w:val="26"/>
        </w:rPr>
        <w:t xml:space="preserve">увеличение социальной напряженности среди граждан, проживающих </w:t>
      </w:r>
      <w:r>
        <w:rPr>
          <w:rFonts w:ascii="Times New Roman" w:hAnsi="Times New Roman" w:eastAsia="Calibri" w:cs="Times New Roman"/>
          <w:sz w:val="26"/>
          <w:szCs w:val="26"/>
        </w:rPr>
        <w:br/>
        <w:t xml:space="preserve">в многоквартирных домах, не имеющих возможность полноценно отдохнуть в ночное время;</w:t>
      </w:r>
      <w:r/>
    </w:p>
    <w:p>
      <w:p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</w:t>
      </w:r>
      <w:r>
        <w:rPr>
          <w:rFonts w:ascii="Times New Roman" w:hAnsi="Times New Roman" w:eastAsia="Calibri" w:cs="Times New Roman"/>
          <w:sz w:val="26"/>
          <w:szCs w:val="26"/>
        </w:rPr>
        <w:t xml:space="preserve"> </w:t>
      </w:r>
      <w:r>
        <w:rPr>
          <w:rFonts w:ascii="Times New Roman" w:hAnsi="Times New Roman" w:eastAsia="Calibri" w:cs="Times New Roman"/>
          <w:sz w:val="26"/>
          <w:szCs w:val="26"/>
        </w:rPr>
        <w:t xml:space="preserve">рост количества жалоб и обращений о нарушении прав граждан</w:t>
      </w:r>
      <w:r>
        <w:rPr>
          <w:rFonts w:ascii="Times New Roman" w:hAnsi="Times New Roman" w:eastAsia="Calibri" w:cs="Times New Roman"/>
          <w:sz w:val="26"/>
          <w:szCs w:val="26"/>
        </w:rPr>
        <w:br/>
        <w:t xml:space="preserve">в связи с наличием в многоквартирном доме и (или) на прилегающей к нему территории объекта общественного питания, осуществляющего розничную продажу алкогольной продукции в вечернее и ночное время.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2.4. Анализ опыта иных субъектов Российской Федерации </w:t>
      </w:r>
      <w:r>
        <w:rPr>
          <w:rFonts w:ascii="Times New Roman" w:hAnsi="Times New Roman" w:eastAsia="Calibri" w:cs="Times New Roman"/>
          <w:sz w:val="26"/>
          <w:szCs w:val="26"/>
        </w:rPr>
        <w:br/>
        <w:t xml:space="preserve">в соответствующих сферах деятельности:*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Изученный опыт </w:t>
      </w:r>
      <w:r>
        <w:rPr>
          <w:rFonts w:ascii="Times New Roman" w:hAnsi="Times New Roman" w:eastAsia="Calibri" w:cs="Times New Roman"/>
          <w:sz w:val="26"/>
          <w:szCs w:val="26"/>
        </w:rPr>
        <w:t xml:space="preserve">других регионов в части ограничения времени </w:t>
      </w:r>
      <w:r>
        <w:rPr>
          <w:rFonts w:ascii="Times New Roman" w:hAnsi="Times New Roman" w:eastAsia="Calibri" w:cs="Times New Roman"/>
          <w:sz w:val="26"/>
          <w:szCs w:val="26"/>
        </w:rPr>
        <w:t xml:space="preserve">реализации ал</w:t>
      </w:r>
      <w:r>
        <w:rPr>
          <w:rFonts w:ascii="Times New Roman" w:hAnsi="Times New Roman" w:eastAsia="Calibri" w:cs="Times New Roman"/>
          <w:sz w:val="26"/>
          <w:szCs w:val="26"/>
        </w:rPr>
        <w:t xml:space="preserve">когольной продукции </w:t>
      </w:r>
      <w:r>
        <w:rPr>
          <w:rFonts w:ascii="Times New Roman" w:hAnsi="Times New Roman" w:eastAsia="Calibri" w:cs="Times New Roman"/>
          <w:sz w:val="26"/>
          <w:szCs w:val="26"/>
        </w:rPr>
        <w:t xml:space="preserve">в предприятиях общественного питания не предусматривает установление ограничени</w:t>
      </w:r>
      <w:r>
        <w:rPr>
          <w:rFonts w:ascii="Times New Roman" w:hAnsi="Times New Roman" w:eastAsia="Calibri" w:cs="Times New Roman"/>
          <w:sz w:val="26"/>
          <w:szCs w:val="26"/>
        </w:rPr>
        <w:t xml:space="preserve">я</w:t>
      </w:r>
      <w:r>
        <w:rPr>
          <w:rFonts w:ascii="Times New Roman" w:hAnsi="Times New Roman" w:eastAsia="Calibri" w:cs="Times New Roman"/>
          <w:sz w:val="26"/>
          <w:szCs w:val="26"/>
        </w:rPr>
        <w:t xml:space="preserve">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3. Цели вводимого правового регулирования и измеримые показатели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br/>
        <w:t xml:space="preserve">их достижения: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3.1. Описание целей предлагаемого правового регулирования: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Проект закона разработан в целях обеспечения </w:t>
      </w:r>
      <w:r>
        <w:rPr>
          <w:rFonts w:ascii="Times New Roman" w:hAnsi="Times New Roman" w:eastAsia="Calibri" w:cs="Times New Roman"/>
          <w:sz w:val="26"/>
          <w:szCs w:val="26"/>
        </w:rPr>
        <w:t xml:space="preserve">тишины, общественного порядка и общественной безопасности вблизи многоквартирных домов, обеспечение полноценного отдыха в вечернее и ночное время</w:t>
      </w:r>
      <w:r>
        <w:rPr>
          <w:rFonts w:ascii="Times New Roman" w:hAnsi="Times New Roman" w:eastAsia="Calibri" w:cs="Times New Roman"/>
          <w:sz w:val="26"/>
          <w:szCs w:val="26"/>
        </w:rPr>
        <w:t xml:space="preserve">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3.2. Обоснование соответствия целей предлагаемого правового регулирования принципам правового регулирования: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Представленный проект закона Белгородской области подготовлен в целях дополнительного регулирования розничной продажи алкогольной продукции </w:t>
      </w:r>
      <w:r>
        <w:rPr>
          <w:rFonts w:ascii="Times New Roman" w:hAnsi="Times New Roman" w:eastAsia="Calibri" w:cs="Times New Roman"/>
          <w:sz w:val="26"/>
          <w:szCs w:val="26"/>
        </w:rPr>
        <w:br/>
        <w:t xml:space="preserve">на территории Белгородской области в соответствии с правом устанавливать дополнительные </w:t>
      </w:r>
      <w:hyperlink r:id="rId8" w:tooltip="consultantplus://offline/ref=EDE321C9382906F26B545A4CD113F9B5EEC51573B6E7B17283A4D4460144FC5ABB5B895C4F81FB09B9CFC7356Eu7rAH" w:history="1">
        <w:r>
          <w:rPr>
            <w:rFonts w:ascii="Times New Roman" w:hAnsi="Times New Roman" w:eastAsia="Calibri" w:cs="Times New Roman"/>
            <w:sz w:val="26"/>
            <w:szCs w:val="26"/>
          </w:rPr>
          <w:t xml:space="preserve">ограничения</w:t>
        </w:r>
      </w:hyperlink>
      <w:r>
        <w:rPr>
          <w:rFonts w:ascii="Times New Roman" w:hAnsi="Times New Roman" w:eastAsia="Calibri" w:cs="Times New Roman"/>
          <w:sz w:val="26"/>
          <w:szCs w:val="26"/>
        </w:rPr>
        <w:t xml:space="preserve"> времени, условий и мест розничной продажи алкогольной продукции, предоставленным органам государственной власти субъектов Российской Федерации статьей 16 Федерального закона от 22 ноября </w:t>
      </w:r>
      <w:r>
        <w:rPr>
          <w:rFonts w:ascii="Times New Roman" w:hAnsi="Times New Roman" w:eastAsia="Calibri" w:cs="Times New Roman"/>
          <w:sz w:val="26"/>
          <w:szCs w:val="26"/>
        </w:rPr>
        <w:br/>
        <w:t xml:space="preserve">1995 года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3.3. Сроки достижения целей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ма</w:t>
      </w:r>
      <w:r>
        <w:rPr>
          <w:rFonts w:ascii="Times New Roman" w:hAnsi="Times New Roman" w:eastAsia="Calibri" w:cs="Times New Roman"/>
          <w:sz w:val="26"/>
          <w:szCs w:val="26"/>
        </w:rPr>
        <w:t xml:space="preserve">рт</w:t>
      </w:r>
      <w:r>
        <w:rPr>
          <w:rFonts w:ascii="Times New Roman" w:hAnsi="Times New Roman" w:eastAsia="Calibri" w:cs="Times New Roman"/>
          <w:sz w:val="26"/>
          <w:szCs w:val="26"/>
        </w:rPr>
        <w:t xml:space="preserve"> 202</w:t>
      </w:r>
      <w:r>
        <w:rPr>
          <w:rFonts w:ascii="Times New Roman" w:hAnsi="Times New Roman" w:eastAsia="Calibri" w:cs="Times New Roman"/>
          <w:sz w:val="26"/>
          <w:szCs w:val="26"/>
        </w:rPr>
        <w:t xml:space="preserve">5</w:t>
      </w:r>
      <w:r>
        <w:rPr>
          <w:rFonts w:ascii="Times New Roman" w:hAnsi="Times New Roman" w:eastAsia="Calibri" w:cs="Times New Roman"/>
          <w:sz w:val="26"/>
          <w:szCs w:val="26"/>
        </w:rPr>
        <w:t xml:space="preserve"> года.</w:t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3.4. Иная информация о целях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Отсутствует.</w:t>
      </w:r>
      <w:r/>
    </w:p>
    <w:p>
      <w:pPr>
        <w:contextualSpacing/>
        <w:ind w:left="709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 Описание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4.1. Описание предлагаемого способа решения проблемы и преодоления связанных с ней негативных эффектов: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Ограничение розничной продажи алкогольной продукции при оказании услуг общественного питания в объектах общественного питания (за исключением ресторанов), расположенных в многоквартирных домах и (или) на прилегающих </w:t>
      </w:r>
      <w:r>
        <w:rPr>
          <w:rFonts w:ascii="Times New Roman" w:hAnsi="Times New Roman" w:eastAsia="Calibri" w:cs="Times New Roman"/>
          <w:sz w:val="26"/>
          <w:szCs w:val="26"/>
        </w:rPr>
        <w:br/>
        <w:t xml:space="preserve">к ним территориях, с 22.00 часов до 10.00 часов</w:t>
      </w:r>
      <w:r>
        <w:rPr>
          <w:rFonts w:ascii="Times New Roman" w:hAnsi="Times New Roman" w:eastAsia="Calibri" w:cs="Times New Roman"/>
          <w:sz w:val="26"/>
          <w:szCs w:val="26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4.2. Альтернативные варианты решения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 w:val="0"/>
          <w:i w:val="0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Альтернативным способом решения вышеуказанной проблемы является установление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полного запрета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розничной продажи алкогольной продукции в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объектах общественного питания, расположенных в многоквартирных домах и на прилегающих к ним территориях, в которых осуществляется розничная продажа а</w:t>
      </w:r>
      <w:r>
        <w:rPr>
          <w:rFonts w:ascii="Times New Roman" w:hAnsi="Times New Roman" w:eastAsia="Times New Roman" w:cs="Times New Roman"/>
          <w:i w:val="0"/>
          <w:iCs w:val="0"/>
          <w:sz w:val="26"/>
          <w:szCs w:val="26"/>
          <w:lang w:eastAsia="ru-RU"/>
        </w:rPr>
        <w:t xml:space="preserve">лкогольной продукции при оказании услуг общественного питания.</w:t>
      </w:r>
      <w:r>
        <w:rPr>
          <w:i w:val="0"/>
          <w:iCs w:val="0"/>
          <w:sz w:val="26"/>
          <w:szCs w:val="26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bCs w:val="0"/>
          <w:i w:val="0"/>
          <w:sz w:val="26"/>
          <w:szCs w:val="26"/>
        </w:rPr>
      </w:pPr>
      <w:r>
        <w:rPr>
          <w:rFonts w:ascii="Times New Roman" w:hAnsi="Times New Roman" w:eastAsia="Times New Roman"/>
          <w:i w:val="0"/>
          <w:iCs w:val="0"/>
          <w:sz w:val="26"/>
          <w:szCs w:val="26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i w:val="0"/>
          <w:iCs w:val="0"/>
          <w:sz w:val="26"/>
          <w:szCs w:val="26"/>
          <w:lang w:eastAsia="ru-RU"/>
        </w:rPr>
        <w:t xml:space="preserve">расположенных в многоквартирных домах и (или) на прилегающих к ним территориях</w:t>
      </w:r>
      <w:r>
        <w:rPr>
          <w:rFonts w:ascii="Times New Roman" w:hAnsi="Times New Roman" w:eastAsia="Times New Roman"/>
          <w:i w:val="0"/>
          <w:iCs w:val="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i w:val="0"/>
          <w:iCs w:val="0"/>
          <w:sz w:val="26"/>
          <w:szCs w:val="26"/>
        </w:rPr>
        <w:t xml:space="preserve">осуществляют свою деятельность по розничной продаже алкогольной продукции 90 юридических лиц и индивидуальных предпринимателей, реализующих пиво и пивные напитки.</w:t>
      </w:r>
      <w:r>
        <w:rPr>
          <w:i w:val="0"/>
          <w:iCs w:val="0"/>
          <w:sz w:val="26"/>
          <w:szCs w:val="26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bCs w:val="0"/>
          <w:i w:val="0"/>
          <w:sz w:val="26"/>
          <w:szCs w:val="26"/>
        </w:rPr>
      </w:pPr>
      <w:r>
        <w:rPr>
          <w:rFonts w:ascii="Times New Roman" w:hAnsi="Times New Roman"/>
          <w:i w:val="0"/>
          <w:iCs w:val="0"/>
          <w:sz w:val="26"/>
          <w:szCs w:val="26"/>
        </w:rPr>
        <w:t xml:space="preserve">В среднем за </w:t>
      </w:r>
      <w:r>
        <w:rPr>
          <w:rFonts w:ascii="Times New Roman" w:hAnsi="Times New Roman"/>
          <w:i w:val="0"/>
          <w:iCs w:val="0"/>
          <w:sz w:val="26"/>
          <w:szCs w:val="26"/>
        </w:rPr>
        <w:t xml:space="preserve">1</w:t>
      </w:r>
      <w:r>
        <w:rPr>
          <w:rFonts w:ascii="Times New Roman" w:hAnsi="Times New Roman"/>
          <w:i w:val="0"/>
          <w:iCs w:val="0"/>
          <w:sz w:val="26"/>
          <w:szCs w:val="26"/>
        </w:rPr>
        <w:t xml:space="preserve"> час реализуется </w:t>
      </w:r>
      <w:r>
        <w:rPr>
          <w:rFonts w:ascii="Times New Roman" w:hAnsi="Times New Roman"/>
          <w:i w:val="0"/>
          <w:iCs w:val="0"/>
          <w:sz w:val="26"/>
          <w:szCs w:val="26"/>
        </w:rPr>
        <w:t xml:space="preserve">2</w:t>
      </w:r>
      <w:r>
        <w:rPr>
          <w:rFonts w:ascii="Times New Roman" w:hAnsi="Times New Roman"/>
          <w:i w:val="0"/>
          <w:iCs w:val="0"/>
          <w:sz w:val="26"/>
          <w:szCs w:val="26"/>
        </w:rPr>
        <w:t xml:space="preserve"> л. крепкой алкогольной продукции </w:t>
      </w:r>
      <w:r>
        <w:rPr>
          <w:rFonts w:ascii="Times New Roman" w:hAnsi="Times New Roman"/>
          <w:i w:val="0"/>
          <w:iCs w:val="0"/>
          <w:sz w:val="26"/>
          <w:szCs w:val="26"/>
        </w:rPr>
        <w:br w:type="textWrapping" w:clear="all"/>
        <w:t xml:space="preserve">по средней цене за 1 л. 600 руб. и </w:t>
      </w:r>
      <w:r>
        <w:rPr>
          <w:rFonts w:ascii="Times New Roman" w:hAnsi="Times New Roman"/>
          <w:i w:val="0"/>
          <w:iCs w:val="0"/>
          <w:sz w:val="26"/>
          <w:szCs w:val="26"/>
        </w:rPr>
        <w:t xml:space="preserve">3 </w:t>
      </w:r>
      <w:r>
        <w:rPr>
          <w:rFonts w:ascii="Times New Roman" w:hAnsi="Times New Roman"/>
          <w:i w:val="0"/>
          <w:iCs w:val="0"/>
          <w:sz w:val="26"/>
          <w:szCs w:val="26"/>
        </w:rPr>
        <w:t xml:space="preserve">л. пива и пивных напитков по средней цене </w:t>
      </w:r>
      <w:r>
        <w:rPr>
          <w:rFonts w:ascii="Times New Roman" w:hAnsi="Times New Roman"/>
          <w:i w:val="0"/>
          <w:iCs w:val="0"/>
          <w:sz w:val="26"/>
          <w:szCs w:val="26"/>
        </w:rPr>
        <w:br w:type="textWrapping" w:clear="all"/>
        <w:t xml:space="preserve">за 1 л. 300 руб.</w:t>
      </w:r>
      <w:r>
        <w:rPr>
          <w:i w:val="0"/>
          <w:iCs w:val="0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Возможная упущенная выгода (выручка) хозяйствующих субъектов, попадающих в зону действия ограничений, при полном запрете (12 часов) на продажу алкогольных напитков составит: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pacing w:val="-2"/>
          <w:sz w:val="26"/>
          <w:szCs w:val="26"/>
        </w:rPr>
      </w:pP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- для 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хозяйствующих субъектов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, реализующих 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алкогольн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ую 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продукци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ю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pacing w:val="-2"/>
          <w:sz w:val="26"/>
          <w:szCs w:val="26"/>
        </w:rPr>
      </w:pP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24 л. 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*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600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 руб. 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*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 30 дн 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*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69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хозяйствующих субъектов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 = 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29 808,0 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тыс. руб. в месяц;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pacing w:val="-2"/>
          <w:sz w:val="26"/>
          <w:szCs w:val="26"/>
        </w:rPr>
      </w:pP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- для индивидуальных предпринимателей, реализующих пиво и пивные напитки: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pacing w:val="-2"/>
          <w:sz w:val="26"/>
          <w:szCs w:val="26"/>
        </w:rPr>
      </w:pP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36 л. 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*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300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 руб. 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*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 30 дн 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*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90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хозяйствующих субъектов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 = 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29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160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 тыс. руб. в месяц.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bCs w:val="0"/>
          <w:i w:val="0"/>
          <w:spacing w:val="-2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i w:val="0"/>
          <w:iCs w:val="0"/>
          <w:spacing w:val="-2"/>
          <w:sz w:val="26"/>
          <w:szCs w:val="26"/>
          <w:lang w:eastAsia="ru-RU"/>
        </w:rPr>
        <w:t xml:space="preserve">Расчет упущенной выгоды (выручки) 9</w:t>
      </w:r>
      <w:r>
        <w:rPr>
          <w:rFonts w:ascii="Times New Roman" w:hAnsi="Times New Roman" w:eastAsia="Times New Roman" w:cs="Times New Roman"/>
          <w:i w:val="0"/>
          <w:iCs w:val="0"/>
          <w:spacing w:val="-2"/>
          <w:sz w:val="26"/>
          <w:szCs w:val="26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i w:val="0"/>
          <w:iCs w:val="0"/>
          <w:spacing w:val="-2"/>
          <w:sz w:val="26"/>
          <w:szCs w:val="26"/>
          <w:lang w:eastAsia="ru-RU"/>
        </w:rPr>
        <w:t xml:space="preserve"> организациями и индивидуальными предпринимателями из расчета полного запрета продажи алкогольной продукции за месяц – </w:t>
      </w:r>
      <w:r>
        <w:rPr>
          <w:rFonts w:ascii="Times New Roman" w:hAnsi="Times New Roman" w:eastAsia="Times New Roman" w:cs="Times New Roman"/>
          <w:b/>
          <w:i w:val="0"/>
          <w:iCs w:val="0"/>
          <w:spacing w:val="-2"/>
          <w:sz w:val="26"/>
          <w:szCs w:val="26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pacing w:val="-2"/>
          <w:sz w:val="26"/>
          <w:szCs w:val="26"/>
          <w:lang w:eastAsia="ru-RU"/>
        </w:rPr>
        <w:t xml:space="preserve">8 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pacing w:val="-2"/>
          <w:sz w:val="26"/>
          <w:szCs w:val="26"/>
          <w:lang w:eastAsia="ru-RU"/>
        </w:rPr>
        <w:t xml:space="preserve">968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pacing w:val="-2"/>
          <w:sz w:val="26"/>
          <w:szCs w:val="26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pacing w:val="-2"/>
          <w:sz w:val="26"/>
          <w:szCs w:val="26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pacing w:val="-2"/>
          <w:sz w:val="26"/>
          <w:szCs w:val="26"/>
          <w:lang w:eastAsia="ru-RU"/>
        </w:rPr>
        <w:t xml:space="preserve"> тыс. руб.</w:t>
      </w:r>
      <w:r>
        <w:rPr>
          <w:i w:val="0"/>
          <w:iCs w:val="0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 w:val="0"/>
          <w:i w:val="0"/>
        </w:rPr>
      </w:pPr>
      <w:r>
        <w:rPr>
          <w:rFonts w:ascii="Times New Roman" w:hAnsi="Times New Roman" w:eastAsia="Times New Roman" w:cs="Times New Roman"/>
          <w:i w:val="0"/>
          <w:iCs w:val="0"/>
          <w:sz w:val="26"/>
          <w:szCs w:val="26"/>
          <w:lang w:eastAsia="ru-RU"/>
        </w:rPr>
        <w:t xml:space="preserve">Учитывая, что в настоящее время запрет розничной продажи алкогольной продукции на территории Белгородской области установлен с 22.00 до 10.00 часов, </w:t>
      </w:r>
      <w:r>
        <w:rPr>
          <w:rFonts w:ascii="Times New Roman" w:hAnsi="Times New Roman" w:eastAsia="Times New Roman" w:cs="Times New Roman"/>
          <w:i w:val="0"/>
          <w:iCs w:val="0"/>
          <w:sz w:val="26"/>
          <w:szCs w:val="26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i w:val="0"/>
          <w:iCs w:val="0"/>
          <w:sz w:val="26"/>
          <w:szCs w:val="26"/>
          <w:lang w:eastAsia="ru-RU"/>
        </w:rPr>
        <w:t xml:space="preserve">апрет розничной продажи алкогольной продукции на территории Белгородской области в 3 часа устанавливается на постоянной основе.</w:t>
      </w:r>
      <w:r>
        <w:rPr>
          <w:rFonts w:ascii="Times New Roman" w:hAnsi="Times New Roman" w:eastAsia="Times New Roman" w:cs="Times New Roman"/>
          <w:i w:val="0"/>
          <w:iCs w:val="0"/>
          <w:sz w:val="26"/>
          <w:szCs w:val="26"/>
          <w:lang w:eastAsia="ru-RU"/>
        </w:rPr>
      </w:r>
      <w:r>
        <w:rPr>
          <w:i w:val="0"/>
          <w:iCs w:val="0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 w:val="0"/>
          <w:i w:val="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i w:val="0"/>
          <w:iCs w:val="0"/>
          <w:sz w:val="26"/>
          <w:szCs w:val="26"/>
          <w:lang w:eastAsia="ru-RU"/>
        </w:rPr>
        <w:t xml:space="preserve">В свою очередь, устанавливаемый проектом закона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6"/>
          <w:szCs w:val="26"/>
          <w:lang w:eastAsia="ru-RU"/>
        </w:rPr>
        <w:t xml:space="preserve">запрет</w:t>
      </w:r>
      <w:r>
        <w:rPr>
          <w:rFonts w:ascii="Times New Roman" w:hAnsi="Times New Roman" w:eastAsia="Times New Roman" w:cs="Times New Roman"/>
          <w:i w:val="0"/>
          <w:iCs w:val="0"/>
          <w:sz w:val="26"/>
          <w:szCs w:val="26"/>
          <w:lang w:eastAsia="ru-RU"/>
        </w:rPr>
        <w:t xml:space="preserve"> розничной продажи алкогольной продукции с 22.00 до 10.00 часов</w:t>
      </w:r>
      <w:r>
        <w:rPr>
          <w:rFonts w:ascii="Times New Roman" w:hAnsi="Times New Roman" w:eastAsia="Times New Roman" w:cs="Times New Roman"/>
          <w:i w:val="0"/>
          <w:iCs w:val="0"/>
          <w:sz w:val="26"/>
          <w:szCs w:val="26"/>
          <w:lang w:eastAsia="ru-RU"/>
        </w:rPr>
        <w:t xml:space="preserve"> повлечет </w:t>
      </w:r>
      <w:r>
        <w:rPr>
          <w:rFonts w:ascii="Times New Roman" w:hAnsi="Times New Roman" w:eastAsia="Times New Roman"/>
          <w:i w:val="0"/>
          <w:iCs w:val="0"/>
          <w:spacing w:val="-6"/>
          <w:sz w:val="26"/>
          <w:szCs w:val="26"/>
          <w:lang w:eastAsia="ru-RU"/>
        </w:rPr>
        <w:t xml:space="preserve">упущенную выгоду </w:t>
      </w:r>
      <w:r>
        <w:rPr>
          <w:rFonts w:ascii="Times New Roman" w:hAnsi="Times New Roman" w:eastAsia="Times New Roman"/>
          <w:i w:val="0"/>
          <w:iCs w:val="0"/>
          <w:spacing w:val="-6"/>
          <w:sz w:val="26"/>
          <w:szCs w:val="26"/>
          <w:lang w:eastAsia="ru-RU"/>
        </w:rPr>
        <w:t xml:space="preserve">90</w:t>
      </w:r>
      <w:r>
        <w:rPr>
          <w:rFonts w:ascii="Times New Roman" w:hAnsi="Times New Roman" w:eastAsia="Times New Roman"/>
          <w:i w:val="0"/>
          <w:iCs w:val="0"/>
          <w:spacing w:val="-6"/>
          <w:sz w:val="26"/>
          <w:szCs w:val="26"/>
          <w:lang w:eastAsia="ru-RU"/>
        </w:rPr>
        <w:t xml:space="preserve"> организаций и индивидуальных предпринимателей в размере</w:t>
      </w:r>
      <w:r>
        <w:rPr>
          <w:rFonts w:ascii="Times New Roman" w:hAnsi="Times New Roman" w:eastAsia="Times New Roman"/>
          <w:i w:val="0"/>
          <w:iCs w:val="0"/>
          <w:spacing w:val="-6"/>
          <w:sz w:val="26"/>
          <w:szCs w:val="26"/>
          <w:lang w:eastAsia="ru-RU"/>
        </w:rPr>
        <w:t xml:space="preserve">  </w:t>
      </w:r>
      <w:r>
        <w:rPr>
          <w:rFonts w:ascii="Times New Roman" w:hAnsi="Times New Roman" w:eastAsia="Times New Roman"/>
          <w:b/>
          <w:bCs/>
          <w:i w:val="0"/>
          <w:iCs w:val="0"/>
          <w:spacing w:val="-6"/>
          <w:sz w:val="26"/>
          <w:szCs w:val="26"/>
          <w:lang w:eastAsia="ru-RU"/>
        </w:rPr>
        <w:t xml:space="preserve">14 742,0 </w:t>
      </w:r>
      <w:r>
        <w:rPr>
          <w:rFonts w:ascii="Times New Roman" w:hAnsi="Times New Roman" w:eastAsia="Times New Roman"/>
          <w:b/>
          <w:bCs/>
          <w:i w:val="0"/>
          <w:iCs w:val="0"/>
          <w:spacing w:val="-6"/>
          <w:sz w:val="26"/>
          <w:szCs w:val="26"/>
          <w:lang w:eastAsia="ru-RU"/>
        </w:rPr>
        <w:t xml:space="preserve">тыс. руб</w:t>
      </w:r>
      <w:r>
        <w:rPr>
          <w:rFonts w:ascii="Times New Roman" w:hAnsi="Times New Roman" w:eastAsia="Times New Roman"/>
          <w:i w:val="0"/>
          <w:iCs w:val="0"/>
          <w:spacing w:val="-6"/>
          <w:sz w:val="26"/>
          <w:szCs w:val="26"/>
          <w:lang w:eastAsia="ru-RU"/>
        </w:rPr>
        <w:t xml:space="preserve">. в месяц.</w:t>
      </w:r>
      <w:r>
        <w:rPr>
          <w:i w:val="0"/>
          <w:iCs w:val="0"/>
          <w:sz w:val="26"/>
          <w:szCs w:val="26"/>
        </w:rPr>
      </w:r>
      <w:r>
        <w:rPr>
          <w:rFonts w:ascii="Times New Roman" w:hAnsi="Times New Roman" w:eastAsia="Times New Roman" w:cs="Times New Roman"/>
          <w:i w:val="0"/>
          <w:iCs w:val="0"/>
          <w:sz w:val="26"/>
          <w:szCs w:val="26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4.3. Обоснование выбора предлагаемого способа решения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Предпочтительным вариантом решения выявленной проблемы является принятие проекта закона Белгородской области «О внесении изменений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br/>
        <w:t xml:space="preserve">в закон Белгородской области «О регулировании отдельных вопросов в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сфере розничной продажи алкогольной продукции».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Предлагаемое время запрета розничной продажи алкогольной продукции с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22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.00 часов до 1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.00 часов является оптимальным в целях исключения нарушения общественного порядка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Согласно расчетным данным, ограничение реализация алкогольной продукции с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22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.00 до 1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.00 часов повлечет наименьший размер упущенной выгоды (выручки) хозяйствующих субъектов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практически в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раза: 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58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968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 тыс. руб. (полный запрет) -</w:t>
      </w: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14</w:t>
      </w: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 </w:t>
      </w: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742</w:t>
      </w: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,</w:t>
      </w: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0</w:t>
      </w: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 тыс. руб.</w:t>
      </w: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=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44 226,0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 тыс. рублей.</w:t>
      </w:r>
      <w:r>
        <w:rPr>
          <w:rFonts w:ascii="Times New Roman" w:hAnsi="Times New Roman" w:eastAsia="Times New Roman"/>
          <w:b/>
          <w:bCs/>
          <w:i/>
          <w:sz w:val="28"/>
          <w:szCs w:val="28"/>
          <w:lang w:eastAsia="ru-RU"/>
        </w:rPr>
        <w:t xml:space="preserve"> 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4.4.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 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Предлагаемый запрет коснется только тех хозяйствующих субъектов, которые расположены 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в многоквартирных домах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и на прилегающих к ним территориях, в которых осуществляется розничная продажа алкогольной продукции при оказании услуг общественного питания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tbl>
      <w:tblPr>
        <w:tblpPr w:horzAnchor="margin" w:tblpXSpec="left" w:vertAnchor="text" w:tblpY="50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65"/>
        <w:gridCol w:w="3402"/>
      </w:tblGrid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5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количества участников отношений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5" w:type="dxa"/>
            <w:textDirection w:val="lrTb"/>
            <w:noWrap w:val="false"/>
          </w:tcPr>
          <w:p>
            <w:pPr>
              <w:ind w:left="57"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Организации, осуществляющие розничную продажу алкогольной продукции, и индивидуальные предприниматели, осуществляющие розничную продажу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расположенных в многоквартирных домах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и на прилегающих к ним территориях, в которых осуществляется розничная продажа алкогольной продукции при оказании услуг общественного питания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9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0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организаций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и индивидуальных предпринимателя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5" w:type="dxa"/>
            <w:textDirection w:val="lrTb"/>
            <w:noWrap w:val="false"/>
          </w:tcPr>
          <w:p>
            <w:pPr>
              <w:ind w:left="57"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Численность жителей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, в том числе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многоквартирных домов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более 700 тыс. чел. жителей из 80 многоквартирных домов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4.5. Оценка изменений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 обязательных требований, обязанностей, ограничений </w:t>
      </w:r>
      <w:r>
        <w:rPr>
          <w:rFonts w:ascii="Times New Roman" w:hAnsi="Times New Roman" w:eastAsia="Calibri" w:cs="Times New Roman"/>
          <w:bCs/>
          <w:sz w:val="26"/>
          <w:szCs w:val="26"/>
        </w:rPr>
        <w:br/>
        <w:t xml:space="preserve">и преимуществ, ответственности за нарушение нормативных правовых актов Белгородской области, расходов и доходов, а также ожидаемых издержек и выгод </w:t>
      </w:r>
      <w:r>
        <w:rPr>
          <w:rFonts w:ascii="Times New Roman" w:hAnsi="Times New Roman" w:eastAsia="Calibri" w:cs="Times New Roman"/>
          <w:bCs/>
          <w:sz w:val="26"/>
          <w:szCs w:val="26"/>
        </w:rPr>
        <w:br/>
        <w:t xml:space="preserve">для субъектов предпринимательской и иной экономической деятельности, интересы которых затрагиваются вводимым правовым регулированием: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tbl>
      <w:tblPr>
        <w:tblpPr w:horzAnchor="margin" w:tblpXSpec="left" w:vertAnchor="text" w:tblpY="69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3544"/>
        <w:gridCol w:w="2976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новых или изменения содержания существующих обязательных требований, обязанностей, ограничений, преимуществ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изменения расходов/доходов,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издержек/выгод,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тыс. руб.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ind w:left="57"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Организации, осуществляющие розничную продажу алкогольной продукции, и индивидуальные предприниматели, осуществляющие розничную продажу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расположенных в многоквартирных домах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и на прилегающих к ним территориях, в которых осуществляется розничная продажа алкогольной продукции при оказании услуг общественного питания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Ограничение розничной продажи алкогольной продукции при оказании услуг общественного питания в объектах общественного питания (за исключением ресторанов), расположенных в многоквартирных домах и (или) на прилегающих 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br/>
              <w:t xml:space="preserve">к ним территориях, с 22.00 часов до 10.00 часов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Исполнение обязанностей в соответствии с проектом закона области может привести к возникновению упущенной выгоды (выручки) в размере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br/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14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742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 тыс. рублей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br/>
              <w:t xml:space="preserve">в месяц. 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ind w:left="57"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Численность жителей, в том числе многоквартирных домов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ind w:left="57" w:right="57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Преимущества: </w:t>
            </w:r>
            <w:r/>
          </w:p>
          <w:p>
            <w:pPr>
              <w:ind w:left="57" w:right="57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- повышение уровня безопасности жителей, исключение случаев нарушения общественного порядка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0"/>
          <w:szCs w:val="20"/>
        </w:rPr>
      </w:pPr>
      <w:r>
        <w:rPr>
          <w:rFonts w:ascii="Times New Roman" w:hAnsi="Times New Roman" w:eastAsia="Calibri" w:cs="Times New Roman"/>
          <w:bCs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изменении:*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tbl>
      <w:tblPr>
        <w:tblpPr w:horzAnchor="margin" w:tblpXSpec="left" w:vertAnchor="text" w:tblpY="75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9"/>
        <w:gridCol w:w="4110"/>
        <w:gridCol w:w="2268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Наименование органа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0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новых или изменения существующих функций, полномочий, обязанностей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  <w:t xml:space="preserve">или прав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изменения трудозатрат и (или) потребностей в иных ресурсах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ind w:right="-28"/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Министерство сельского хозяйства и продовольствия Белгородской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Региональный государственный контроль (надзор) в области розничной продажи алкогольной и спиртосодержащей продукции будет осуществляться департаментом в рамках установленных полномочий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-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ind w:right="-28"/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Министерство сельского хозяйства и продовольствия Белгородской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Региональный государственный контроль (надзор) в области розничной продажи алкогольной и спиртосодержащей продукции будет осуществляться департаментом в рамках установленных полномочий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-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4.7. Оценка расходов (возможных поступлений) консолидированного бюджета Белгородской области:*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tbl>
      <w:tblPr>
        <w:tblpPr w:horzAnchor="margin" w:tblpXSpec="left" w:vertAnchor="text" w:tblpY="58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9"/>
        <w:gridCol w:w="4110"/>
        <w:gridCol w:w="2268"/>
      </w:tblGrid>
      <w:tr>
        <w:trPr/>
        <w:tc>
          <w:tcPr>
            <w:tcW w:w="32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новых или изменения существующих функций, полномочий, обязанностей или прав</w:t>
            </w:r>
            <w:r/>
          </w:p>
        </w:tc>
        <w:tc>
          <w:tcPr>
            <w:tcW w:w="41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Количественная оценка расходов и возможных поступлений,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тыс. руб.</w:t>
            </w:r>
            <w:r/>
          </w:p>
        </w:tc>
      </w:tr>
      <w:tr>
        <w:trPr/>
        <w:tc>
          <w:tcPr>
            <w:tcW w:w="3289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Министерство сельского хозяйства и продовольствия Белгородской области</w:t>
            </w:r>
            <w:r/>
          </w:p>
        </w:tc>
        <w:tc>
          <w:tcPr>
            <w:tcW w:w="41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Расходов (дополнительных поступлений) консолидированного бюджета Белгородской области не предусмотрено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-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</w:tr>
      <w:tr>
        <w:trPr/>
        <w:tc>
          <w:tcPr>
            <w:tcW w:w="3289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Министерство сельского хозяйства и продовольствия Белгородской области</w:t>
            </w:r>
            <w:r/>
          </w:p>
        </w:tc>
        <w:tc>
          <w:tcPr>
            <w:tcW w:w="41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Расходов (дополнительных поступлений) консолидированного бюджета Белгородской области не предусмотрено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-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0"/>
          <w:szCs w:val="20"/>
        </w:rPr>
      </w:pPr>
      <w:r>
        <w:rPr>
          <w:rFonts w:ascii="Times New Roman" w:hAnsi="Times New Roman" w:eastAsia="Calibri" w:cs="Times New Roman"/>
          <w:b/>
          <w:bCs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4.8. Информация о наличии или отсутствии в проекте нормативного правового акта обязательных требований: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Предусмотрено о</w:t>
      </w:r>
      <w:r>
        <w:rPr>
          <w:rFonts w:ascii="Times New Roman" w:hAnsi="Times New Roman" w:eastAsia="Calibri" w:cs="Times New Roman"/>
          <w:sz w:val="26"/>
          <w:szCs w:val="26"/>
        </w:rPr>
        <w:t xml:space="preserve">граничение</w:t>
      </w:r>
      <w:r>
        <w:rPr>
          <w:rFonts w:ascii="Times New Roman" w:hAnsi="Times New Roman" w:eastAsia="Calibri" w:cs="Times New Roman"/>
          <w:sz w:val="26"/>
          <w:szCs w:val="26"/>
        </w:rPr>
        <w:t xml:space="preserve"> времени </w:t>
      </w:r>
      <w:r>
        <w:rPr>
          <w:rFonts w:ascii="Times New Roman" w:hAnsi="Times New Roman" w:eastAsia="Calibri" w:cs="Times New Roman"/>
          <w:sz w:val="26"/>
          <w:szCs w:val="26"/>
        </w:rPr>
        <w:t xml:space="preserve">розничной продажи алкогольной продукции при оказании услуг общественного питания в объектах общественного питания (за исключением ресторанов), расположенных в многоквартирных домах и (или) на прилегающих к ним территориях, с 22.00 часов до 10.00 часов</w:t>
      </w:r>
      <w:r>
        <w:rPr>
          <w:rFonts w:ascii="Times New Roman" w:hAnsi="Times New Roman" w:eastAsia="Calibri" w:cs="Times New Roman"/>
          <w:sz w:val="26"/>
          <w:szCs w:val="26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0"/>
          <w:szCs w:val="20"/>
        </w:rPr>
      </w:pPr>
      <w:r>
        <w:rPr>
          <w:rFonts w:ascii="Times New Roman" w:hAnsi="Times New Roman" w:eastAsia="Calibri" w:cs="Times New Roman"/>
          <w:b/>
          <w:bCs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5. Риски решения проблемы предложенным способом правового регулирования и риски негативных последствий, в том числе для конкуренции, а также описание методов контроля эффективности избранного способа достижения целей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0"/>
          <w:szCs w:val="20"/>
        </w:rPr>
      </w:pPr>
      <w:r>
        <w:rPr>
          <w:rFonts w:ascii="Times New Roman" w:hAnsi="Times New Roman" w:eastAsia="Calibri" w:cs="Times New Roman"/>
          <w:bCs/>
          <w:sz w:val="20"/>
          <w:szCs w:val="20"/>
        </w:rPr>
      </w:r>
      <w:r/>
    </w:p>
    <w:tbl>
      <w:tblPr>
        <w:tblpPr w:horzAnchor="margin" w:tblpXSpec="left" w:vertAnchor="text" w:tblpY="189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1843"/>
        <w:gridCol w:w="481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Риски решения проблемы предложенным способом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 риски негативных последствий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вероятности наступления рисков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Методы контроля эффективности избранного способа достижения целей регулирования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Нарушение времени запрета розничной продажи алкогольной продукции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Низкая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Сведения о времени продажи алкогольной продукции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 организациями находятся в распоряжении министерства сельского хозяйства и продовольствия Белгородской области. Нарушение времени розничной продажи алкогольной продукции влечет административную ответственность в соответствии с действующим законодательством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6. Необходимые для достижения заявленных целей регулирования организационно-технические, методологические, информационные и иные мероприятия:*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tbl>
      <w:tblPr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3"/>
        <w:gridCol w:w="1843"/>
        <w:gridCol w:w="2126"/>
        <w:gridCol w:w="1418"/>
        <w:gridCol w:w="1417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Мероприятия, необходимые для достижения целей регулирования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Сроки реализации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ожидаемого результата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Объем финансиро- 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Источники финансиро- вания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63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eastAsia="Calibri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lang w:eastAsia="en-US"/>
              </w:rPr>
              <w:t xml:space="preserve">Размещение информации в СМИ о принятии закона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сентябрь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2024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 года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– март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202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Осведомленность подконтрольных субъектов о порядке определения устанавливаемых ограничений 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-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63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eastAsia="Calibri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lang w:eastAsia="en-US"/>
              </w:rPr>
              <w:t xml:space="preserve">Учет субъектов в государственной информационной системе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постоянно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Проведение контрольных (надзорных) мероприятий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-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63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eastAsia="Calibri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lang w:eastAsia="en-US"/>
              </w:rPr>
              <w:t xml:space="preserve">Подготовка ежегодного доклада о состоянии регионального государственного надзора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ежегодно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Профилактика, минимизация наступления рисков причинения вреда (ущерба)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-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63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eastAsia="Calibri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lang w:eastAsia="en-US"/>
              </w:rPr>
              <w:t xml:space="preserve">Консультирование (разъяснение по вопросам, связанным с организацией и осуществлением регионального государственного контроля (надзора)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по мере необходимости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Профилактика, минимизация наступления рисков причинения вреда (ущерба)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-</w:t>
            </w:r>
            <w:r/>
          </w:p>
        </w:tc>
      </w:tr>
    </w:tbl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/>
      <w:bookmarkStart w:id="1" w:name="_GoBack"/>
      <w:r/>
      <w:bookmarkEnd w:id="1"/>
      <w:r/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7. Ожидаемые измеримые результаты правового регулирования:*</w:t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/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694"/>
        <w:gridCol w:w="1989"/>
        <w:gridCol w:w="2263"/>
        <w:gridCol w:w="2693"/>
      </w:tblGrid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Ключевые показатели достижения целей, заявленных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  <w:t xml:space="preserve">в предложенном регулировании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Количественное значение ключевых показателей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Методы контроля эффективности достижения целей правового регулирования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Срок оценки достижения ключевых показателей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  <w:t xml:space="preserve">(не более 5 лет)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Количество выявленных нарушений продажи алкогольной продукции на территориях на установленных законом территориях в запрещенное время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не более 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Анализ количества выявленных нарушений обязательных требований за истекший период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май 202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5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8. Предполагаемая дата вступления в силу проекта нормативного правового акта: 1 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марта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 202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5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 года.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tbl>
      <w:tblPr>
        <w:tblW w:w="0" w:type="auto"/>
        <w:tblLook w:val="04A0" w:firstRow="1" w:lastRow="0" w:firstColumn="1" w:lastColumn="0" w:noHBand="0" w:noVBand="1"/>
      </w:tblPr>
      <w:tblGrid>
        <w:gridCol w:w="5279"/>
        <w:gridCol w:w="466"/>
        <w:gridCol w:w="1385"/>
        <w:gridCol w:w="457"/>
        <w:gridCol w:w="457"/>
        <w:gridCol w:w="1810"/>
      </w:tblGrid>
      <w:tr>
        <w:trPr>
          <w:trHeight w:val="419"/>
        </w:trPr>
        <w:tc>
          <w:tcPr>
            <w:shd w:val="clear" w:color="auto" w:fill="auto"/>
            <w:tcW w:w="52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4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1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tcW w:w="4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18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</w:tr>
      <w:tr>
        <w:trPr>
          <w:trHeight w:val="679"/>
        </w:trPr>
        <w:tc>
          <w:tcPr>
            <w:shd w:val="clear" w:color="auto" w:fill="auto"/>
            <w:tcW w:w="52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  <w:t xml:space="preserve">Министр сельского хозяйства                               и продовольствия Белгородской области</w:t>
            </w:r>
            <w:r/>
          </w:p>
        </w:tc>
        <w:tc>
          <w:tcPr>
            <w:shd w:val="clear" w:color="auto" w:fill="auto"/>
            <w:tcW w:w="46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138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tcW w:w="4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18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bottom w:val="single" w:color="auto" w:sz="4" w:space="0"/>
            </w:tcBorders>
            <w:tcW w:w="52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  <w:t xml:space="preserve">А.А. Антоненко</w:t>
            </w:r>
            <w:r/>
          </w:p>
        </w:tc>
        <w:tc>
          <w:tcPr>
            <w:shd w:val="clear" w:color="auto" w:fill="auto"/>
            <w:tcW w:w="4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8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</w:tcBorders>
            <w:tcW w:w="52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(инициалы, фамилия)</w:t>
            </w:r>
            <w:r/>
          </w:p>
        </w:tc>
        <w:tc>
          <w:tcPr>
            <w:shd w:val="clear" w:color="auto" w:fill="auto"/>
            <w:tcW w:w="4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 (дата )</w:t>
            </w:r>
            <w:r/>
          </w:p>
        </w:tc>
        <w:tc>
          <w:tcPr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8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(подпись)</w:t>
            </w:r>
            <w:r/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567" w:right="566" w:bottom="70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 w:default="1">
    <w:name w:val="Normal"/>
    <w:qFormat/>
  </w:style>
  <w:style w:type="paragraph" w:styleId="635">
    <w:name w:val="Heading 1"/>
    <w:basedOn w:val="634"/>
    <w:next w:val="634"/>
    <w:link w:val="66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36">
    <w:name w:val="Heading 2"/>
    <w:basedOn w:val="634"/>
    <w:next w:val="634"/>
    <w:link w:val="66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37">
    <w:name w:val="Heading 3"/>
    <w:basedOn w:val="634"/>
    <w:next w:val="634"/>
    <w:link w:val="66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38">
    <w:name w:val="Heading 4"/>
    <w:basedOn w:val="634"/>
    <w:next w:val="634"/>
    <w:link w:val="66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39">
    <w:name w:val="Heading 5"/>
    <w:basedOn w:val="634"/>
    <w:next w:val="634"/>
    <w:link w:val="66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0">
    <w:name w:val="Heading 6"/>
    <w:basedOn w:val="634"/>
    <w:next w:val="634"/>
    <w:link w:val="66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41">
    <w:name w:val="Heading 7"/>
    <w:basedOn w:val="634"/>
    <w:next w:val="634"/>
    <w:link w:val="67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42">
    <w:name w:val="Heading 8"/>
    <w:basedOn w:val="634"/>
    <w:next w:val="634"/>
    <w:link w:val="67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43">
    <w:name w:val="Heading 9"/>
    <w:basedOn w:val="634"/>
    <w:next w:val="634"/>
    <w:link w:val="67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4" w:default="1">
    <w:name w:val="Default Paragraph Font"/>
    <w:uiPriority w:val="1"/>
    <w:semiHidden/>
    <w:unhideWhenUsed/>
  </w:style>
  <w:style w:type="table" w:styleId="6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6" w:default="1">
    <w:name w:val="No List"/>
    <w:uiPriority w:val="99"/>
    <w:semiHidden/>
    <w:unhideWhenUsed/>
  </w:style>
  <w:style w:type="character" w:styleId="647" w:customStyle="1">
    <w:name w:val="Heading 1 Char"/>
    <w:basedOn w:val="644"/>
    <w:uiPriority w:val="9"/>
    <w:rPr>
      <w:rFonts w:ascii="Arial" w:hAnsi="Arial" w:eastAsia="Arial" w:cs="Arial"/>
      <w:sz w:val="40"/>
      <w:szCs w:val="40"/>
    </w:rPr>
  </w:style>
  <w:style w:type="character" w:styleId="648" w:customStyle="1">
    <w:name w:val="Heading 2 Char"/>
    <w:basedOn w:val="644"/>
    <w:uiPriority w:val="9"/>
    <w:rPr>
      <w:rFonts w:ascii="Arial" w:hAnsi="Arial" w:eastAsia="Arial" w:cs="Arial"/>
      <w:sz w:val="34"/>
    </w:rPr>
  </w:style>
  <w:style w:type="character" w:styleId="649" w:customStyle="1">
    <w:name w:val="Heading 3 Char"/>
    <w:basedOn w:val="644"/>
    <w:uiPriority w:val="9"/>
    <w:rPr>
      <w:rFonts w:ascii="Arial" w:hAnsi="Arial" w:eastAsia="Arial" w:cs="Arial"/>
      <w:sz w:val="30"/>
      <w:szCs w:val="30"/>
    </w:rPr>
  </w:style>
  <w:style w:type="character" w:styleId="650" w:customStyle="1">
    <w:name w:val="Heading 4 Char"/>
    <w:basedOn w:val="644"/>
    <w:uiPriority w:val="9"/>
    <w:rPr>
      <w:rFonts w:ascii="Arial" w:hAnsi="Arial" w:eastAsia="Arial" w:cs="Arial"/>
      <w:b/>
      <w:bCs/>
      <w:sz w:val="26"/>
      <w:szCs w:val="26"/>
    </w:rPr>
  </w:style>
  <w:style w:type="character" w:styleId="651" w:customStyle="1">
    <w:name w:val="Heading 5 Char"/>
    <w:basedOn w:val="644"/>
    <w:uiPriority w:val="9"/>
    <w:rPr>
      <w:rFonts w:ascii="Arial" w:hAnsi="Arial" w:eastAsia="Arial" w:cs="Arial"/>
      <w:b/>
      <w:bCs/>
      <w:sz w:val="24"/>
      <w:szCs w:val="24"/>
    </w:rPr>
  </w:style>
  <w:style w:type="character" w:styleId="652" w:customStyle="1">
    <w:name w:val="Heading 6 Char"/>
    <w:basedOn w:val="644"/>
    <w:uiPriority w:val="9"/>
    <w:rPr>
      <w:rFonts w:ascii="Arial" w:hAnsi="Arial" w:eastAsia="Arial" w:cs="Arial"/>
      <w:b/>
      <w:bCs/>
      <w:sz w:val="22"/>
      <w:szCs w:val="22"/>
    </w:rPr>
  </w:style>
  <w:style w:type="character" w:styleId="653" w:customStyle="1">
    <w:name w:val="Heading 7 Char"/>
    <w:basedOn w:val="6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54" w:customStyle="1">
    <w:name w:val="Heading 8 Char"/>
    <w:basedOn w:val="644"/>
    <w:uiPriority w:val="9"/>
    <w:rPr>
      <w:rFonts w:ascii="Arial" w:hAnsi="Arial" w:eastAsia="Arial" w:cs="Arial"/>
      <w:i/>
      <w:iCs/>
      <w:sz w:val="22"/>
      <w:szCs w:val="22"/>
    </w:rPr>
  </w:style>
  <w:style w:type="character" w:styleId="655" w:customStyle="1">
    <w:name w:val="Heading 9 Char"/>
    <w:basedOn w:val="644"/>
    <w:uiPriority w:val="9"/>
    <w:rPr>
      <w:rFonts w:ascii="Arial" w:hAnsi="Arial" w:eastAsia="Arial" w:cs="Arial"/>
      <w:i/>
      <w:iCs/>
      <w:sz w:val="21"/>
      <w:szCs w:val="21"/>
    </w:rPr>
  </w:style>
  <w:style w:type="character" w:styleId="656" w:customStyle="1">
    <w:name w:val="Title Char"/>
    <w:basedOn w:val="644"/>
    <w:uiPriority w:val="10"/>
    <w:rPr>
      <w:sz w:val="48"/>
      <w:szCs w:val="48"/>
    </w:rPr>
  </w:style>
  <w:style w:type="character" w:styleId="657" w:customStyle="1">
    <w:name w:val="Subtitle Char"/>
    <w:basedOn w:val="644"/>
    <w:uiPriority w:val="11"/>
    <w:rPr>
      <w:sz w:val="24"/>
      <w:szCs w:val="24"/>
    </w:rPr>
  </w:style>
  <w:style w:type="character" w:styleId="658" w:customStyle="1">
    <w:name w:val="Quote Char"/>
    <w:uiPriority w:val="29"/>
    <w:rPr>
      <w:i/>
    </w:rPr>
  </w:style>
  <w:style w:type="character" w:styleId="659" w:customStyle="1">
    <w:name w:val="Intense Quote Char"/>
    <w:uiPriority w:val="30"/>
    <w:rPr>
      <w:i/>
    </w:rPr>
  </w:style>
  <w:style w:type="character" w:styleId="660" w:customStyle="1">
    <w:name w:val="Header Char"/>
    <w:basedOn w:val="644"/>
    <w:uiPriority w:val="99"/>
  </w:style>
  <w:style w:type="character" w:styleId="661" w:customStyle="1">
    <w:name w:val="Caption Char"/>
    <w:uiPriority w:val="99"/>
  </w:style>
  <w:style w:type="character" w:styleId="662" w:customStyle="1">
    <w:name w:val="Footnote Text Char"/>
    <w:uiPriority w:val="99"/>
    <w:rPr>
      <w:sz w:val="18"/>
    </w:rPr>
  </w:style>
  <w:style w:type="character" w:styleId="663" w:customStyle="1">
    <w:name w:val="Endnote Text Char"/>
    <w:uiPriority w:val="99"/>
    <w:rPr>
      <w:sz w:val="20"/>
    </w:rPr>
  </w:style>
  <w:style w:type="character" w:styleId="664" w:customStyle="1">
    <w:name w:val="Заголовок 1 Знак"/>
    <w:basedOn w:val="644"/>
    <w:link w:val="635"/>
    <w:uiPriority w:val="9"/>
    <w:rPr>
      <w:rFonts w:ascii="Arial" w:hAnsi="Arial" w:eastAsia="Arial" w:cs="Arial"/>
      <w:sz w:val="40"/>
      <w:szCs w:val="40"/>
    </w:rPr>
  </w:style>
  <w:style w:type="character" w:styleId="665" w:customStyle="1">
    <w:name w:val="Заголовок 2 Знак"/>
    <w:basedOn w:val="644"/>
    <w:link w:val="636"/>
    <w:uiPriority w:val="9"/>
    <w:rPr>
      <w:rFonts w:ascii="Arial" w:hAnsi="Arial" w:eastAsia="Arial" w:cs="Arial"/>
      <w:sz w:val="34"/>
    </w:rPr>
  </w:style>
  <w:style w:type="character" w:styleId="666" w:customStyle="1">
    <w:name w:val="Заголовок 3 Знак"/>
    <w:basedOn w:val="644"/>
    <w:link w:val="637"/>
    <w:uiPriority w:val="9"/>
    <w:rPr>
      <w:rFonts w:ascii="Arial" w:hAnsi="Arial" w:eastAsia="Arial" w:cs="Arial"/>
      <w:sz w:val="30"/>
      <w:szCs w:val="30"/>
    </w:rPr>
  </w:style>
  <w:style w:type="character" w:styleId="667" w:customStyle="1">
    <w:name w:val="Заголовок 4 Знак"/>
    <w:basedOn w:val="644"/>
    <w:link w:val="638"/>
    <w:uiPriority w:val="9"/>
    <w:rPr>
      <w:rFonts w:ascii="Arial" w:hAnsi="Arial" w:eastAsia="Arial" w:cs="Arial"/>
      <w:b/>
      <w:bCs/>
      <w:sz w:val="26"/>
      <w:szCs w:val="26"/>
    </w:rPr>
  </w:style>
  <w:style w:type="character" w:styleId="668" w:customStyle="1">
    <w:name w:val="Заголовок 5 Знак"/>
    <w:basedOn w:val="644"/>
    <w:link w:val="639"/>
    <w:uiPriority w:val="9"/>
    <w:rPr>
      <w:rFonts w:ascii="Arial" w:hAnsi="Arial" w:eastAsia="Arial" w:cs="Arial"/>
      <w:b/>
      <w:bCs/>
      <w:sz w:val="24"/>
      <w:szCs w:val="24"/>
    </w:rPr>
  </w:style>
  <w:style w:type="character" w:styleId="669" w:customStyle="1">
    <w:name w:val="Заголовок 6 Знак"/>
    <w:basedOn w:val="644"/>
    <w:link w:val="640"/>
    <w:uiPriority w:val="9"/>
    <w:rPr>
      <w:rFonts w:ascii="Arial" w:hAnsi="Arial" w:eastAsia="Arial" w:cs="Arial"/>
      <w:b/>
      <w:bCs/>
      <w:sz w:val="22"/>
      <w:szCs w:val="22"/>
    </w:rPr>
  </w:style>
  <w:style w:type="character" w:styleId="670" w:customStyle="1">
    <w:name w:val="Заголовок 7 Знак"/>
    <w:basedOn w:val="644"/>
    <w:link w:val="64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1" w:customStyle="1">
    <w:name w:val="Заголовок 8 Знак"/>
    <w:basedOn w:val="644"/>
    <w:link w:val="642"/>
    <w:uiPriority w:val="9"/>
    <w:rPr>
      <w:rFonts w:ascii="Arial" w:hAnsi="Arial" w:eastAsia="Arial" w:cs="Arial"/>
      <w:i/>
      <w:iCs/>
      <w:sz w:val="22"/>
      <w:szCs w:val="22"/>
    </w:rPr>
  </w:style>
  <w:style w:type="character" w:styleId="672" w:customStyle="1">
    <w:name w:val="Заголовок 9 Знак"/>
    <w:basedOn w:val="644"/>
    <w:link w:val="643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634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after="0" w:line="240" w:lineRule="auto"/>
    </w:pPr>
  </w:style>
  <w:style w:type="paragraph" w:styleId="675">
    <w:name w:val="Title"/>
    <w:basedOn w:val="634"/>
    <w:next w:val="634"/>
    <w:link w:val="676"/>
    <w:uiPriority w:val="10"/>
    <w:qFormat/>
    <w:pPr>
      <w:contextualSpacing/>
      <w:spacing w:before="300"/>
    </w:pPr>
    <w:rPr>
      <w:sz w:val="48"/>
      <w:szCs w:val="48"/>
    </w:rPr>
  </w:style>
  <w:style w:type="character" w:styleId="676" w:customStyle="1">
    <w:name w:val="Название Знак"/>
    <w:basedOn w:val="644"/>
    <w:link w:val="675"/>
    <w:uiPriority w:val="10"/>
    <w:rPr>
      <w:sz w:val="48"/>
      <w:szCs w:val="48"/>
    </w:rPr>
  </w:style>
  <w:style w:type="paragraph" w:styleId="677">
    <w:name w:val="Subtitle"/>
    <w:basedOn w:val="634"/>
    <w:next w:val="634"/>
    <w:link w:val="678"/>
    <w:uiPriority w:val="11"/>
    <w:qFormat/>
    <w:pPr>
      <w:spacing w:before="200"/>
    </w:pPr>
    <w:rPr>
      <w:sz w:val="24"/>
      <w:szCs w:val="24"/>
    </w:rPr>
  </w:style>
  <w:style w:type="character" w:styleId="678" w:customStyle="1">
    <w:name w:val="Подзаголовок Знак"/>
    <w:basedOn w:val="644"/>
    <w:link w:val="677"/>
    <w:uiPriority w:val="11"/>
    <w:rPr>
      <w:sz w:val="24"/>
      <w:szCs w:val="24"/>
    </w:rPr>
  </w:style>
  <w:style w:type="paragraph" w:styleId="679">
    <w:name w:val="Quote"/>
    <w:basedOn w:val="634"/>
    <w:next w:val="634"/>
    <w:link w:val="680"/>
    <w:uiPriority w:val="29"/>
    <w:qFormat/>
    <w:pPr>
      <w:ind w:left="720" w:right="720"/>
    </w:pPr>
    <w:rPr>
      <w:i/>
    </w:rPr>
  </w:style>
  <w:style w:type="character" w:styleId="680" w:customStyle="1">
    <w:name w:val="Цитата 2 Знак"/>
    <w:link w:val="679"/>
    <w:uiPriority w:val="29"/>
    <w:rPr>
      <w:i/>
    </w:rPr>
  </w:style>
  <w:style w:type="paragraph" w:styleId="681">
    <w:name w:val="Intense Quote"/>
    <w:basedOn w:val="634"/>
    <w:next w:val="634"/>
    <w:link w:val="68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 w:customStyle="1">
    <w:name w:val="Выделенная цитата Знак"/>
    <w:link w:val="681"/>
    <w:uiPriority w:val="30"/>
    <w:rPr>
      <w:i/>
    </w:rPr>
  </w:style>
  <w:style w:type="paragraph" w:styleId="683">
    <w:name w:val="Header"/>
    <w:basedOn w:val="634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 w:customStyle="1">
    <w:name w:val="Верхний колонтитул Знак"/>
    <w:basedOn w:val="644"/>
    <w:link w:val="683"/>
    <w:uiPriority w:val="99"/>
  </w:style>
  <w:style w:type="paragraph" w:styleId="685">
    <w:name w:val="Footer"/>
    <w:basedOn w:val="634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 w:customStyle="1">
    <w:name w:val="Footer Char"/>
    <w:basedOn w:val="644"/>
    <w:uiPriority w:val="99"/>
  </w:style>
  <w:style w:type="paragraph" w:styleId="687">
    <w:name w:val="Caption"/>
    <w:basedOn w:val="634"/>
    <w:next w:val="63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88" w:customStyle="1">
    <w:name w:val="Нижний колонтитул Знак"/>
    <w:link w:val="685"/>
    <w:uiPriority w:val="99"/>
  </w:style>
  <w:style w:type="table" w:styleId="689">
    <w:name w:val="Table Grid"/>
    <w:basedOn w:val="64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0" w:customStyle="1">
    <w:name w:val="Table Grid Light"/>
    <w:basedOn w:val="64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1">
    <w:name w:val="Plain Table 1"/>
    <w:basedOn w:val="64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64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 w:customStyle="1">
    <w:name w:val="Grid Table 4 - Accent 1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19" w:customStyle="1">
    <w:name w:val="Grid Table 4 - Accent 2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0" w:customStyle="1">
    <w:name w:val="Grid Table 4 - Accent 3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1" w:customStyle="1">
    <w:name w:val="Grid Table 4 - Accent 4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2" w:customStyle="1">
    <w:name w:val="Grid Table 4 - Accent 5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3" w:customStyle="1">
    <w:name w:val="Grid Table 4 - Accent 6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4">
    <w:name w:val="Grid Table 5 Dark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1">
    <w:name w:val="Grid Table 6 Colorful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2" w:customStyle="1">
    <w:name w:val="Grid Table 6 Colorful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3" w:customStyle="1">
    <w:name w:val="Grid Table 6 Colorful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4" w:customStyle="1">
    <w:name w:val="Grid Table 6 Colorful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5" w:customStyle="1">
    <w:name w:val="Grid Table 6 Colorful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6" w:customStyle="1">
    <w:name w:val="Grid Table 6 Colorful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7" w:customStyle="1">
    <w:name w:val="Grid Table 6 Colorful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8">
    <w:name w:val="Grid Table 7 Colorful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39" w:customStyle="1">
    <w:name w:val="Grid Table 7 Colorful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0" w:customStyle="1">
    <w:name w:val="Grid Table 7 Colorful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1" w:customStyle="1">
    <w:name w:val="Grid Table 7 Colorful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2" w:customStyle="1">
    <w:name w:val="Grid Table 7 Colorful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3" w:customStyle="1">
    <w:name w:val="Grid Table 7 Colorful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4" w:customStyle="1">
    <w:name w:val="Grid Table 7 Colorful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5">
    <w:name w:val="List Table 1 Light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1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2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3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4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5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6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>
    <w:name w:val="List Table 6 Colorful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1" w:customStyle="1">
    <w:name w:val="List Table 6 Colorful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2" w:customStyle="1">
    <w:name w:val="List Table 6 Colorful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3" w:customStyle="1">
    <w:name w:val="List Table 6 Colorful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4" w:customStyle="1">
    <w:name w:val="List Table 6 Colorful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5" w:customStyle="1">
    <w:name w:val="List Table 6 Colorful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6" w:customStyle="1">
    <w:name w:val="List Table 6 Colorful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7">
    <w:name w:val="List Table 7 Colorful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8" w:customStyle="1">
    <w:name w:val="List Table 7 Colorful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9" w:customStyle="1">
    <w:name w:val="List Table 7 Colorful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0" w:customStyle="1">
    <w:name w:val="List Table 7 Colorful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1" w:customStyle="1">
    <w:name w:val="List Table 7 Colorful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2" w:customStyle="1">
    <w:name w:val="List Table 7 Colorful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3" w:customStyle="1">
    <w:name w:val="List Table 7 Colorful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4" w:customStyle="1">
    <w:name w:val="Lined - Accent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5" w:customStyle="1">
    <w:name w:val="Lined - Accent 1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6" w:customStyle="1">
    <w:name w:val="Lined - Accent 2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7" w:customStyle="1">
    <w:name w:val="Lined - Accent 3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98" w:customStyle="1">
    <w:name w:val="Lined - Accent 4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99" w:customStyle="1">
    <w:name w:val="Lined - Accent 5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0" w:customStyle="1">
    <w:name w:val="Lined - Accent 6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1" w:customStyle="1">
    <w:name w:val="Bordered &amp; Lined - Accent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2" w:customStyle="1">
    <w:name w:val="Bordered &amp; Lined - Accent 1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3" w:customStyle="1">
    <w:name w:val="Bordered &amp; Lined - Accent 2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4" w:customStyle="1">
    <w:name w:val="Bordered &amp; Lined - Accent 3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5" w:customStyle="1">
    <w:name w:val="Bordered &amp; Lined - Accent 4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6" w:customStyle="1">
    <w:name w:val="Bordered &amp; Lined - Accent 5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7" w:customStyle="1">
    <w:name w:val="Bordered &amp; Lined - Accent 6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8" w:customStyle="1">
    <w:name w:val="Bordered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9" w:customStyle="1">
    <w:name w:val="Bordered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0" w:customStyle="1">
    <w:name w:val="Bordered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1" w:customStyle="1">
    <w:name w:val="Bordered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2" w:customStyle="1">
    <w:name w:val="Bordered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3" w:customStyle="1">
    <w:name w:val="Bordered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4" w:customStyle="1">
    <w:name w:val="Bordered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634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 w:customStyle="1">
    <w:name w:val="Текст сноски Знак"/>
    <w:link w:val="816"/>
    <w:uiPriority w:val="99"/>
    <w:rPr>
      <w:sz w:val="18"/>
    </w:rPr>
  </w:style>
  <w:style w:type="character" w:styleId="818">
    <w:name w:val="footnote reference"/>
    <w:basedOn w:val="644"/>
    <w:uiPriority w:val="99"/>
    <w:unhideWhenUsed/>
    <w:rPr>
      <w:vertAlign w:val="superscript"/>
    </w:rPr>
  </w:style>
  <w:style w:type="paragraph" w:styleId="819">
    <w:name w:val="endnote text"/>
    <w:basedOn w:val="634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 w:customStyle="1">
    <w:name w:val="Текст концевой сноски Знак"/>
    <w:link w:val="819"/>
    <w:uiPriority w:val="99"/>
    <w:rPr>
      <w:sz w:val="20"/>
    </w:rPr>
  </w:style>
  <w:style w:type="character" w:styleId="821">
    <w:name w:val="endnote reference"/>
    <w:basedOn w:val="644"/>
    <w:uiPriority w:val="99"/>
    <w:semiHidden/>
    <w:unhideWhenUsed/>
    <w:rPr>
      <w:vertAlign w:val="superscript"/>
    </w:rPr>
  </w:style>
  <w:style w:type="paragraph" w:styleId="822">
    <w:name w:val="toc 1"/>
    <w:basedOn w:val="634"/>
    <w:next w:val="634"/>
    <w:uiPriority w:val="39"/>
    <w:unhideWhenUsed/>
    <w:pPr>
      <w:spacing w:after="57"/>
    </w:pPr>
  </w:style>
  <w:style w:type="paragraph" w:styleId="823">
    <w:name w:val="toc 2"/>
    <w:basedOn w:val="634"/>
    <w:next w:val="634"/>
    <w:uiPriority w:val="39"/>
    <w:unhideWhenUsed/>
    <w:pPr>
      <w:ind w:left="283"/>
      <w:spacing w:after="57"/>
    </w:pPr>
  </w:style>
  <w:style w:type="paragraph" w:styleId="824">
    <w:name w:val="toc 3"/>
    <w:basedOn w:val="634"/>
    <w:next w:val="634"/>
    <w:uiPriority w:val="39"/>
    <w:unhideWhenUsed/>
    <w:pPr>
      <w:ind w:left="567"/>
      <w:spacing w:after="57"/>
    </w:pPr>
  </w:style>
  <w:style w:type="paragraph" w:styleId="825">
    <w:name w:val="toc 4"/>
    <w:basedOn w:val="634"/>
    <w:next w:val="634"/>
    <w:uiPriority w:val="39"/>
    <w:unhideWhenUsed/>
    <w:pPr>
      <w:ind w:left="850"/>
      <w:spacing w:after="57"/>
    </w:pPr>
  </w:style>
  <w:style w:type="paragraph" w:styleId="826">
    <w:name w:val="toc 5"/>
    <w:basedOn w:val="634"/>
    <w:next w:val="634"/>
    <w:uiPriority w:val="39"/>
    <w:unhideWhenUsed/>
    <w:pPr>
      <w:ind w:left="1134"/>
      <w:spacing w:after="57"/>
    </w:pPr>
  </w:style>
  <w:style w:type="paragraph" w:styleId="827">
    <w:name w:val="toc 6"/>
    <w:basedOn w:val="634"/>
    <w:next w:val="634"/>
    <w:uiPriority w:val="39"/>
    <w:unhideWhenUsed/>
    <w:pPr>
      <w:ind w:left="1417"/>
      <w:spacing w:after="57"/>
    </w:pPr>
  </w:style>
  <w:style w:type="paragraph" w:styleId="828">
    <w:name w:val="toc 7"/>
    <w:basedOn w:val="634"/>
    <w:next w:val="634"/>
    <w:uiPriority w:val="39"/>
    <w:unhideWhenUsed/>
    <w:pPr>
      <w:ind w:left="1701"/>
      <w:spacing w:after="57"/>
    </w:pPr>
  </w:style>
  <w:style w:type="paragraph" w:styleId="829">
    <w:name w:val="toc 8"/>
    <w:basedOn w:val="634"/>
    <w:next w:val="634"/>
    <w:uiPriority w:val="39"/>
    <w:unhideWhenUsed/>
    <w:pPr>
      <w:ind w:left="1984"/>
      <w:spacing w:after="57"/>
    </w:pPr>
  </w:style>
  <w:style w:type="paragraph" w:styleId="830">
    <w:name w:val="toc 9"/>
    <w:basedOn w:val="634"/>
    <w:next w:val="634"/>
    <w:uiPriority w:val="39"/>
    <w:unhideWhenUsed/>
    <w:pPr>
      <w:ind w:left="2268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634"/>
    <w:next w:val="634"/>
    <w:uiPriority w:val="99"/>
    <w:unhideWhenUsed/>
    <w:pPr>
      <w:spacing w:after="0"/>
    </w:pPr>
  </w:style>
  <w:style w:type="paragraph" w:styleId="833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34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35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36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37" w:customStyle="1">
    <w:name w:val="ConsPlusDocList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38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839" w:customStyle="1">
    <w:name w:val="ConsPlusJurTerm"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840" w:customStyle="1">
    <w:name w:val="ConsPlusTextList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41" w:customStyle="1">
    <w:name w:val="Знак"/>
    <w:basedOn w:val="634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consultantplus://offline/ref=EDE321C9382906F26B545A4CD113F9B5EEC51573B6E7B17283A4D4460144FC5ABB5B895C4F81FB09B9CFC7356Eu7rAH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И. Л.</dc:creator>
  <cp:revision>83</cp:revision>
  <dcterms:created xsi:type="dcterms:W3CDTF">2022-04-27T14:18:00Z</dcterms:created>
  <dcterms:modified xsi:type="dcterms:W3CDTF">2024-08-09T12:30:00Z</dcterms:modified>
</cp:coreProperties>
</file>